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C3" w:rsidRDefault="001B60D3" w:rsidP="00C632C3">
      <w:pPr>
        <w:spacing w:line="40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59264" behindDoc="0" locked="0" layoutInCell="1" allowOverlap="1" wp14:anchorId="3E7A27C3" wp14:editId="3F57AAC4">
                <wp:simplePos x="0" y="0"/>
                <wp:positionH relativeFrom="column">
                  <wp:posOffset>5237134</wp:posOffset>
                </wp:positionH>
                <wp:positionV relativeFrom="paragraph">
                  <wp:posOffset>-338917</wp:posOffset>
                </wp:positionV>
                <wp:extent cx="1052945" cy="471055"/>
                <wp:effectExtent l="0" t="0" r="13970" b="24765"/>
                <wp:wrapNone/>
                <wp:docPr id="2" name="正方形/長方形 1"/>
                <wp:cNvGraphicFramePr/>
                <a:graphic xmlns:a="http://schemas.openxmlformats.org/drawingml/2006/main">
                  <a:graphicData uri="http://schemas.microsoft.com/office/word/2010/wordprocessingShape">
                    <wps:wsp>
                      <wps:cNvSpPr/>
                      <wps:spPr>
                        <a:xfrm>
                          <a:off x="0" y="0"/>
                          <a:ext cx="1052945" cy="471055"/>
                        </a:xfrm>
                        <a:prstGeom prst="rect">
                          <a:avLst/>
                        </a:prstGeom>
                        <a:noFill/>
                        <a:ln w="19050" cap="flat" cmpd="sng" algn="ctr">
                          <a:solidFill>
                            <a:srgbClr val="4F81BD">
                              <a:shade val="50000"/>
                            </a:srgbClr>
                          </a:solidFill>
                          <a:prstDash val="solid"/>
                        </a:ln>
                        <a:effectLst/>
                      </wps:spPr>
                      <wps:txbx>
                        <w:txbxContent>
                          <w:p w:rsidR="001B60D3" w:rsidRDefault="001B60D3" w:rsidP="001B60D3">
                            <w:pPr>
                              <w:pStyle w:val="Web"/>
                              <w:spacing w:before="0" w:beforeAutospacing="0" w:after="0" w:afterAutospacing="0"/>
                              <w:jc w:val="center"/>
                              <w:rPr>
                                <w:rFonts w:ascii="Calibri" w:cs="+mn-cs"/>
                                <w:color w:val="000000"/>
                                <w:sz w:val="40"/>
                                <w:szCs w:val="40"/>
                              </w:rPr>
                            </w:pPr>
                            <w:r>
                              <w:rPr>
                                <w:rFonts w:ascii="Calibri" w:cs="+mn-cs" w:hint="eastAsia"/>
                                <w:color w:val="000000"/>
                                <w:sz w:val="40"/>
                                <w:szCs w:val="40"/>
                              </w:rPr>
                              <w:t>資料</w:t>
                            </w:r>
                            <w:r>
                              <w:rPr>
                                <w:rFonts w:ascii="Calibri" w:cs="+mn-cs" w:hint="eastAsia"/>
                                <w:color w:val="000000"/>
                                <w:sz w:val="40"/>
                                <w:szCs w:val="40"/>
                              </w:rPr>
                              <w:t>1</w:t>
                            </w:r>
                          </w:p>
                          <w:p w:rsidR="001B60D3" w:rsidRDefault="001B60D3" w:rsidP="001B60D3">
                            <w:pPr>
                              <w:pStyle w:val="Web"/>
                              <w:spacing w:before="0" w:beforeAutospacing="0" w:after="0" w:afterAutospacing="0"/>
                              <w:jc w:val="center"/>
                            </w:pPr>
                          </w:p>
                        </w:txbxContent>
                      </wps:txbx>
                      <wps:bodyPr vertOverflow="clip" horzOverflow="clip" lIns="0" tIns="0" rIns="0" bIns="0" rtlCol="0" anchor="ctr"/>
                    </wps:wsp>
                  </a:graphicData>
                </a:graphic>
              </wp:anchor>
            </w:drawing>
          </mc:Choice>
          <mc:Fallback>
            <w:pict>
              <v:rect id="正方形/長方形 1" o:spid="_x0000_s1026" style="position:absolute;left:0;text-align:left;margin-left:412.35pt;margin-top:-26.7pt;width:82.9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" filled="f" strokecolor="#385d8a" strokeweight="1.5pt">
                <v:textbox inset="0,0,0,0">
                  <w:txbxContent>
                    <w:p w:rsidR="001B60D3" w:rsidRDefault="001B60D3" w:rsidP="001B60D3">
                      <w:pPr>
                        <w:pStyle w:val="Web"/>
                        <w:spacing w:before="0" w:beforeAutospacing="0" w:after="0" w:afterAutospacing="0"/>
                        <w:jc w:val="center"/>
                        <w:rPr>
                          <w:rFonts w:ascii="Calibri" w:cs="+mn-cs" w:hint="eastAsia"/>
                          <w:color w:val="000000"/>
                          <w:sz w:val="40"/>
                          <w:szCs w:val="40"/>
                        </w:rPr>
                      </w:pPr>
                      <w:r>
                        <w:rPr>
                          <w:rFonts w:ascii="Calibri" w:cs="+mn-cs" w:hint="eastAsia"/>
                          <w:color w:val="000000"/>
                          <w:sz w:val="40"/>
                          <w:szCs w:val="40"/>
                          <w:eastAsianLayout w:id="568585728"/>
                        </w:rPr>
                        <w:t>資料</w:t>
                      </w:r>
                      <w:r>
                        <w:rPr>
                          <w:rFonts w:ascii="Calibri" w:cs="+mn-cs" w:hint="eastAsia"/>
                          <w:color w:val="000000"/>
                          <w:sz w:val="40"/>
                          <w:szCs w:val="40"/>
                        </w:rPr>
                        <w:t>1</w:t>
                      </w:r>
                    </w:p>
                    <w:p w:rsidR="001B60D3" w:rsidRDefault="001B60D3" w:rsidP="001B60D3">
                      <w:pPr>
                        <w:pStyle w:val="Web"/>
                        <w:spacing w:before="0" w:beforeAutospacing="0" w:after="0" w:afterAutospacing="0"/>
                        <w:jc w:val="center"/>
                      </w:pPr>
                    </w:p>
                  </w:txbxContent>
                </v:textbox>
              </v:rect>
            </w:pict>
          </mc:Fallback>
        </mc:AlternateContent>
      </w:r>
    </w:p>
    <w:p w:rsidR="00C632C3" w:rsidRPr="00081CC3" w:rsidRDefault="00C632C3" w:rsidP="00C632C3">
      <w:pPr>
        <w:spacing w:line="400" w:lineRule="exact"/>
        <w:jc w:val="center"/>
        <w:rPr>
          <w:rFonts w:ascii="ＭＳ ゴシック" w:eastAsia="ＭＳ ゴシック" w:hAnsi="ＭＳ ゴシック"/>
          <w:b/>
          <w:sz w:val="26"/>
          <w:szCs w:val="26"/>
        </w:rPr>
      </w:pPr>
      <w:r w:rsidRPr="00081CC3">
        <w:rPr>
          <w:rFonts w:ascii="ＭＳ ゴシック" w:eastAsia="ＭＳ ゴシック" w:hAnsi="ＭＳ ゴシック" w:hint="eastAsia"/>
          <w:b/>
          <w:sz w:val="26"/>
          <w:szCs w:val="26"/>
        </w:rPr>
        <w:t>第１回調査研究協議会</w:t>
      </w:r>
      <w:r w:rsidR="001B60D3">
        <w:rPr>
          <w:rFonts w:ascii="ＭＳ ゴシック" w:eastAsia="ＭＳ ゴシック" w:hAnsi="ＭＳ ゴシック" w:hint="eastAsia"/>
          <w:b/>
          <w:sz w:val="26"/>
          <w:szCs w:val="26"/>
        </w:rPr>
        <w:t>のまとめ</w:t>
      </w:r>
    </w:p>
    <w:p w:rsidR="00C632C3" w:rsidRDefault="00C632C3" w:rsidP="00C632C3">
      <w:pPr>
        <w:spacing w:line="360" w:lineRule="exact"/>
        <w:rPr>
          <w:rFonts w:ascii="ＭＳ ゴシック" w:eastAsia="ＭＳ ゴシック" w:hAnsi="ＭＳ ゴシック" w:hint="eastAsia"/>
          <w:sz w:val="24"/>
        </w:rPr>
      </w:pPr>
    </w:p>
    <w:p w:rsidR="00E91632" w:rsidRPr="00E91632" w:rsidRDefault="00E91632" w:rsidP="00C632C3">
      <w:pPr>
        <w:spacing w:line="360" w:lineRule="exact"/>
        <w:rPr>
          <w:rFonts w:ascii="ＭＳ ゴシック" w:eastAsia="ＭＳ ゴシック" w:hAnsi="ＭＳ ゴシック"/>
          <w:sz w:val="24"/>
        </w:rPr>
      </w:pPr>
      <w:bookmarkStart w:id="0" w:name="_GoBack"/>
      <w:bookmarkEnd w:id="0"/>
    </w:p>
    <w:p w:rsidR="00C632C3" w:rsidRPr="004C7AB8" w:rsidRDefault="00C632C3" w:rsidP="00C632C3">
      <w:pPr>
        <w:pStyle w:val="a5"/>
        <w:ind w:leftChars="50" w:left="345" w:hangingChars="100" w:hanging="240"/>
        <w:rPr>
          <w:rFonts w:ascii="ＭＳ ゴシック" w:eastAsia="ＭＳ ゴシック" w:hAnsi="ＭＳ ゴシック"/>
          <w:color w:val="0070C0"/>
          <w:sz w:val="24"/>
        </w:rPr>
      </w:pPr>
      <w:r w:rsidRPr="004C7AB8">
        <w:rPr>
          <w:rFonts w:ascii="ＭＳ ゴシック" w:eastAsia="ＭＳ ゴシック" w:hAnsi="ＭＳ ゴシック"/>
          <w:color w:val="0070C0"/>
          <w:sz w:val="24"/>
        </w:rPr>
        <w:t>(1)</w:t>
      </w:r>
      <w:r w:rsidRPr="004C7AB8">
        <w:rPr>
          <w:rFonts w:ascii="ＭＳ ゴシック" w:eastAsia="ＭＳ ゴシック" w:hAnsi="ＭＳ ゴシック" w:hint="eastAsia"/>
          <w:color w:val="0070C0"/>
          <w:sz w:val="24"/>
        </w:rPr>
        <w:t xml:space="preserve">　基幹病院の連携強化</w:t>
      </w:r>
      <w:r w:rsidR="001B60D3">
        <w:rPr>
          <w:rFonts w:ascii="ＭＳ ゴシック" w:eastAsia="ＭＳ ゴシック" w:hAnsi="ＭＳ ゴシック" w:hint="eastAsia"/>
          <w:color w:val="0070C0"/>
          <w:sz w:val="24"/>
        </w:rPr>
        <w:t>など</w:t>
      </w:r>
      <w:r w:rsidRPr="004C7AB8">
        <w:rPr>
          <w:rFonts w:ascii="ＭＳ ゴシック" w:eastAsia="ＭＳ ゴシック" w:hAnsi="ＭＳ ゴシック" w:hint="eastAsia"/>
          <w:color w:val="0070C0"/>
          <w:sz w:val="24"/>
        </w:rPr>
        <w:t>により，医療の質を高め，患者にとって最適な医療体制を目指すことが重要であること。</w:t>
      </w:r>
    </w:p>
    <w:p w:rsidR="00C632C3" w:rsidRPr="004C7AB8" w:rsidRDefault="00C632C3" w:rsidP="00C632C3">
      <w:pPr>
        <w:spacing w:line="160" w:lineRule="exact"/>
        <w:rPr>
          <w:rFonts w:ascii="ＭＳ 明朝"/>
          <w:color w:val="000000"/>
          <w:sz w:val="24"/>
        </w:rPr>
      </w:pP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高齢化の進展に伴い，現状の医療提供体制のままでは，今後の医療需要の増加に対応できなくなるおそれがある。医療体制の実態と１０～２０年後のあるべき理想像とのギャップを埋めていく必要があり，その際，効率性の観点ばかりでなく，病院間の利害を越えて医療の質を高め，患者にとって最適な医療体制の実現を目指すことが重要で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このため，高精度放射線治療センター（仮称）を基幹病院連携の好事例としてさらなる連携強化を図り，国の政策とも連動しながら，病診連携，在宅医療の充実強化も含めて包括的な医療体制を目指す必要が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さらに，我が国の医療体制は，高齢化が進む諸外国からも注目されており，本県の事例が超高齢社会のモデルケースとなるよう，広島医療界の総力をあげて，強力なリーダーシップをもって取り組んでいくことが重要である。</w:t>
      </w:r>
    </w:p>
    <w:p w:rsidR="00C632C3" w:rsidRPr="004C7AB8" w:rsidRDefault="00C632C3" w:rsidP="00C632C3">
      <w:pPr>
        <w:pStyle w:val="a5"/>
        <w:ind w:leftChars="0" w:left="0"/>
        <w:rPr>
          <w:rFonts w:ascii="ＭＳ ゴシック" w:eastAsia="ＭＳ ゴシック" w:hAnsi="ＭＳ ゴシック"/>
          <w:color w:val="000000"/>
          <w:sz w:val="24"/>
        </w:rPr>
      </w:pPr>
    </w:p>
    <w:p w:rsidR="00C632C3" w:rsidRPr="004C7AB8" w:rsidRDefault="00C632C3" w:rsidP="00C632C3">
      <w:pPr>
        <w:pStyle w:val="a5"/>
        <w:ind w:leftChars="50" w:left="345" w:hangingChars="100" w:hanging="240"/>
        <w:rPr>
          <w:rFonts w:ascii="ＭＳ ゴシック" w:eastAsia="ＭＳ ゴシック" w:hAnsi="ＭＳ ゴシック"/>
          <w:color w:val="000000"/>
          <w:sz w:val="24"/>
        </w:rPr>
      </w:pPr>
      <w:r w:rsidRPr="004C7AB8">
        <w:rPr>
          <w:rFonts w:ascii="ＭＳ ゴシック" w:eastAsia="ＭＳ ゴシック" w:hAnsi="ＭＳ ゴシック"/>
          <w:color w:val="0070C0"/>
          <w:sz w:val="24"/>
        </w:rPr>
        <w:t>(2)</w:t>
      </w:r>
      <w:r w:rsidRPr="004C7AB8">
        <w:rPr>
          <w:rFonts w:ascii="ＭＳ ゴシック" w:eastAsia="ＭＳ ゴシック" w:hAnsi="ＭＳ ゴシック" w:hint="eastAsia"/>
          <w:color w:val="0070C0"/>
          <w:sz w:val="24"/>
        </w:rPr>
        <w:t xml:space="preserve">　症例を集積することにより，治療効果の向上が期待できるとともに，若手医師を惹きつける医療環境の魅力アップを図ることができること。</w:t>
      </w:r>
    </w:p>
    <w:p w:rsidR="00C632C3" w:rsidRPr="004C7AB8" w:rsidRDefault="00C632C3" w:rsidP="00C632C3">
      <w:pPr>
        <w:spacing w:line="160" w:lineRule="exact"/>
        <w:rPr>
          <w:rFonts w:ascii="ＭＳ 明朝"/>
          <w:color w:val="000000"/>
          <w:sz w:val="24"/>
        </w:rPr>
      </w:pP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症例数と死亡率の負の相関関係に見られるように，症例の集積によって治療効果の向上が期待できるとともに，症例数の多さは，専門医を目指す若手医師を惹きつける大きな魅力となる。症例集積の方法については，例えば，希少疾患を特定の病院に集約することは検討に値するが，複合疾患に対応できるよう，過度な集約を避けて総合病院の機能を維持すべきで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それぞれの病院の特徴を活かしながら専門領域を充実させていくとともに，救急医療など慢性的に医師が不足している分野においては，マンパワーの確保など病院間の一層の連携が求められる。医療費適正化の観点からも，医療資源が分散している状態は非効率である。</w:t>
      </w:r>
    </w:p>
    <w:p w:rsidR="00C632C3" w:rsidRPr="004C7AB8" w:rsidRDefault="00C632C3" w:rsidP="00C632C3">
      <w:pPr>
        <w:rPr>
          <w:rFonts w:ascii="ＭＳ 明朝"/>
          <w:color w:val="000000"/>
          <w:sz w:val="24"/>
        </w:rPr>
      </w:pPr>
    </w:p>
    <w:p w:rsidR="00C632C3" w:rsidRPr="004C7AB8" w:rsidRDefault="00C632C3" w:rsidP="00C632C3">
      <w:pPr>
        <w:pStyle w:val="a5"/>
        <w:ind w:leftChars="50" w:left="345" w:hangingChars="100" w:hanging="240"/>
        <w:rPr>
          <w:rFonts w:ascii="ＭＳ ゴシック" w:eastAsia="ＭＳ ゴシック" w:hAnsi="ＭＳ ゴシック"/>
          <w:color w:val="000000"/>
          <w:sz w:val="24"/>
        </w:rPr>
      </w:pPr>
      <w:r w:rsidRPr="004C7AB8">
        <w:rPr>
          <w:rFonts w:ascii="ＭＳ ゴシック" w:eastAsia="ＭＳ ゴシック" w:hAnsi="ＭＳ ゴシック"/>
          <w:color w:val="0070C0"/>
          <w:sz w:val="24"/>
        </w:rPr>
        <w:t>(3)</w:t>
      </w:r>
      <w:r w:rsidRPr="004C7AB8">
        <w:rPr>
          <w:rFonts w:ascii="ＭＳ ゴシック" w:eastAsia="ＭＳ ゴシック" w:hAnsi="ＭＳ ゴシック" w:hint="eastAsia"/>
          <w:color w:val="0070C0"/>
          <w:sz w:val="24"/>
        </w:rPr>
        <w:t xml:space="preserve">　基幹病院間の人事交流や臨床研修医の相互派遣，医薬品の共同購買など，効果が明らかな連携については，早急に取り組むべきであること。</w:t>
      </w:r>
    </w:p>
    <w:p w:rsidR="00C632C3" w:rsidRPr="004C7AB8" w:rsidRDefault="00C632C3" w:rsidP="00C632C3">
      <w:pPr>
        <w:pStyle w:val="a5"/>
        <w:spacing w:line="160" w:lineRule="exact"/>
        <w:ind w:leftChars="0" w:left="0"/>
        <w:rPr>
          <w:rFonts w:ascii="ＭＳ 明朝"/>
          <w:color w:val="000000"/>
          <w:sz w:val="24"/>
        </w:rPr>
      </w:pP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医師・看護師等の人事交流や臨床研修医の“たすき掛け”については，給与等に不利益が生じないよう，勤務条件に留意しつつ，積極的に取り組むべきである。また，海外からの医師の受入れなど，これまでの取組を活かしながら，国際的な人材交流をさらに拡大していく必要がある。</w:t>
      </w:r>
    </w:p>
    <w:p w:rsidR="00C632C3" w:rsidRPr="004C7AB8" w:rsidRDefault="00C632C3" w:rsidP="00C632C3">
      <w:pPr>
        <w:pStyle w:val="a5"/>
        <w:spacing w:line="340" w:lineRule="exact"/>
        <w:ind w:leftChars="100" w:left="210" w:firstLineChars="100" w:firstLine="220"/>
        <w:rPr>
          <w:rFonts w:ascii="ＭＳ 明朝"/>
          <w:color w:val="000000"/>
          <w:sz w:val="22"/>
          <w:szCs w:val="22"/>
        </w:rPr>
      </w:pPr>
      <w:r w:rsidRPr="004C7AB8">
        <w:rPr>
          <w:rFonts w:ascii="ＭＳ 明朝" w:hAnsi="ＭＳ 明朝" w:hint="eastAsia"/>
          <w:color w:val="000000"/>
          <w:sz w:val="22"/>
          <w:szCs w:val="22"/>
        </w:rPr>
        <w:t>高額な医療機器を共同購入・共同利用することができれば，採算面からも機器の有効利用が図れるとともに，複合疾患の増加に伴って，患者カルテの共有など情報系システムの高度化・共有化も必要となってくることが考えられる。</w:t>
      </w:r>
    </w:p>
    <w:p w:rsidR="00C632C3" w:rsidRPr="004C7AB8" w:rsidRDefault="00C632C3" w:rsidP="00C632C3">
      <w:pPr>
        <w:pStyle w:val="a5"/>
        <w:spacing w:line="340" w:lineRule="exact"/>
        <w:ind w:leftChars="100" w:left="210" w:firstLineChars="100" w:firstLine="220"/>
        <w:rPr>
          <w:rFonts w:ascii="ＭＳ ゴシック" w:eastAsia="ＭＳ ゴシック" w:hAnsi="ＭＳ ゴシック"/>
          <w:sz w:val="24"/>
        </w:rPr>
      </w:pPr>
      <w:r w:rsidRPr="004C7AB8">
        <w:rPr>
          <w:rFonts w:ascii="ＭＳ 明朝" w:hAnsi="ＭＳ 明朝" w:hint="eastAsia"/>
          <w:color w:val="000000"/>
          <w:sz w:val="22"/>
          <w:szCs w:val="22"/>
        </w:rPr>
        <w:t>医薬品の共同購買や委託業務の共同化など，効果が相当見込まれる連携については，早急に検討に着手すべきである。</w:t>
      </w:r>
    </w:p>
    <w:sectPr w:rsidR="00C632C3" w:rsidRPr="004C7AB8" w:rsidSect="0002032C">
      <w:pgSz w:w="11906" w:h="16838"/>
      <w:pgMar w:top="1021"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D9" w:rsidRDefault="002757D9" w:rsidP="00715725">
      <w:r>
        <w:separator/>
      </w:r>
    </w:p>
  </w:endnote>
  <w:endnote w:type="continuationSeparator" w:id="0">
    <w:p w:rsidR="002757D9" w:rsidRDefault="002757D9" w:rsidP="007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D9" w:rsidRDefault="002757D9" w:rsidP="00715725">
      <w:r>
        <w:separator/>
      </w:r>
    </w:p>
  </w:footnote>
  <w:footnote w:type="continuationSeparator" w:id="0">
    <w:p w:rsidR="002757D9" w:rsidRDefault="002757D9" w:rsidP="00715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FFF"/>
    <w:multiLevelType w:val="hybridMultilevel"/>
    <w:tmpl w:val="5B0C405C"/>
    <w:lvl w:ilvl="0" w:tplc="DCD45D20">
      <w:start w:val="1"/>
      <w:numFmt w:val="decimal"/>
      <w:lvlText w:val="(%1)"/>
      <w:lvlJc w:val="left"/>
      <w:pPr>
        <w:ind w:left="360" w:hanging="360"/>
      </w:pPr>
      <w:rPr>
        <w:rFonts w:hint="default"/>
      </w:rPr>
    </w:lvl>
    <w:lvl w:ilvl="1" w:tplc="5B508C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21724D"/>
    <w:multiLevelType w:val="hybridMultilevel"/>
    <w:tmpl w:val="76C27ABA"/>
    <w:lvl w:ilvl="0" w:tplc="74404A0E">
      <w:start w:val="1"/>
      <w:numFmt w:val="decimal"/>
      <w:lvlText w:val="(%1)"/>
      <w:lvlJc w:val="left"/>
      <w:pPr>
        <w:ind w:left="393" w:hanging="39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EB58B7"/>
    <w:multiLevelType w:val="hybridMultilevel"/>
    <w:tmpl w:val="B55E4762"/>
    <w:lvl w:ilvl="0" w:tplc="FC7E3312">
      <w:start w:val="3"/>
      <w:numFmt w:val="bullet"/>
      <w:lvlText w:val="・"/>
      <w:lvlJc w:val="left"/>
      <w:pPr>
        <w:ind w:left="885" w:hanging="360"/>
      </w:pPr>
      <w:rPr>
        <w:rFonts w:ascii="ＭＳ 明朝" w:eastAsia="ＭＳ 明朝" w:hAnsi="ＭＳ 明朝" w:cs="Times New Roman" w:hint="eastAsia"/>
        <w:lang w:val="en-US"/>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nsid w:val="70780371"/>
    <w:multiLevelType w:val="hybridMultilevel"/>
    <w:tmpl w:val="E9D8B088"/>
    <w:lvl w:ilvl="0" w:tplc="148A39AC">
      <w:start w:val="1"/>
      <w:numFmt w:val="decimal"/>
      <w:lvlText w:val="(%1)"/>
      <w:lvlJc w:val="left"/>
      <w:pPr>
        <w:ind w:left="541" w:hanging="436"/>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74C27A16"/>
    <w:multiLevelType w:val="hybridMultilevel"/>
    <w:tmpl w:val="02281F44"/>
    <w:lvl w:ilvl="0" w:tplc="43D00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AE"/>
    <w:rsid w:val="0001430D"/>
    <w:rsid w:val="0002032C"/>
    <w:rsid w:val="0008548D"/>
    <w:rsid w:val="000E6E46"/>
    <w:rsid w:val="00120E98"/>
    <w:rsid w:val="001247C8"/>
    <w:rsid w:val="001811AC"/>
    <w:rsid w:val="001B60D3"/>
    <w:rsid w:val="001F54F9"/>
    <w:rsid w:val="002326B8"/>
    <w:rsid w:val="002757D9"/>
    <w:rsid w:val="00283E17"/>
    <w:rsid w:val="002A6E02"/>
    <w:rsid w:val="003066AD"/>
    <w:rsid w:val="003C59B3"/>
    <w:rsid w:val="004A7BC8"/>
    <w:rsid w:val="004C0ED2"/>
    <w:rsid w:val="004F0C87"/>
    <w:rsid w:val="0056028B"/>
    <w:rsid w:val="00572C02"/>
    <w:rsid w:val="005865C8"/>
    <w:rsid w:val="005B2D4D"/>
    <w:rsid w:val="00701759"/>
    <w:rsid w:val="00706E4E"/>
    <w:rsid w:val="00714A73"/>
    <w:rsid w:val="00715725"/>
    <w:rsid w:val="00721997"/>
    <w:rsid w:val="00761B2B"/>
    <w:rsid w:val="008E2A94"/>
    <w:rsid w:val="009A014C"/>
    <w:rsid w:val="00A36C87"/>
    <w:rsid w:val="00A805EE"/>
    <w:rsid w:val="00AE4399"/>
    <w:rsid w:val="00B124EB"/>
    <w:rsid w:val="00B57080"/>
    <w:rsid w:val="00BA6D12"/>
    <w:rsid w:val="00BB7A2E"/>
    <w:rsid w:val="00BF3C1D"/>
    <w:rsid w:val="00C04AAE"/>
    <w:rsid w:val="00C3316A"/>
    <w:rsid w:val="00C3421A"/>
    <w:rsid w:val="00C632C3"/>
    <w:rsid w:val="00C65BD1"/>
    <w:rsid w:val="00D572E2"/>
    <w:rsid w:val="00DA5EF1"/>
    <w:rsid w:val="00E91632"/>
    <w:rsid w:val="00F359DE"/>
    <w:rsid w:val="00FA7828"/>
    <w:rsid w:val="00FB6315"/>
    <w:rsid w:val="00FB73E2"/>
    <w:rsid w:val="00FC6433"/>
    <w:rsid w:val="00FF28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9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997"/>
    <w:rPr>
      <w:rFonts w:asciiTheme="majorHAnsi" w:eastAsiaTheme="majorEastAsia" w:hAnsiTheme="majorHAnsi" w:cstheme="majorBidi"/>
      <w:sz w:val="18"/>
      <w:szCs w:val="18"/>
    </w:rPr>
  </w:style>
  <w:style w:type="paragraph" w:styleId="a5">
    <w:name w:val="List Paragraph"/>
    <w:basedOn w:val="a"/>
    <w:uiPriority w:val="34"/>
    <w:qFormat/>
    <w:rsid w:val="00721997"/>
    <w:pPr>
      <w:ind w:leftChars="400" w:left="840"/>
    </w:pPr>
  </w:style>
  <w:style w:type="paragraph" w:styleId="a6">
    <w:name w:val="header"/>
    <w:basedOn w:val="a"/>
    <w:link w:val="a7"/>
    <w:uiPriority w:val="99"/>
    <w:semiHidden/>
    <w:unhideWhenUsed/>
    <w:rsid w:val="00715725"/>
    <w:pPr>
      <w:tabs>
        <w:tab w:val="center" w:pos="4252"/>
        <w:tab w:val="right" w:pos="8504"/>
      </w:tabs>
      <w:snapToGrid w:val="0"/>
    </w:pPr>
  </w:style>
  <w:style w:type="character" w:customStyle="1" w:styleId="a7">
    <w:name w:val="ヘッダー (文字)"/>
    <w:basedOn w:val="a0"/>
    <w:link w:val="a6"/>
    <w:uiPriority w:val="99"/>
    <w:semiHidden/>
    <w:rsid w:val="00715725"/>
    <w:rPr>
      <w:szCs w:val="24"/>
    </w:rPr>
  </w:style>
  <w:style w:type="paragraph" w:styleId="a8">
    <w:name w:val="footer"/>
    <w:basedOn w:val="a"/>
    <w:link w:val="a9"/>
    <w:uiPriority w:val="99"/>
    <w:semiHidden/>
    <w:unhideWhenUsed/>
    <w:rsid w:val="00715725"/>
    <w:pPr>
      <w:tabs>
        <w:tab w:val="center" w:pos="4252"/>
        <w:tab w:val="right" w:pos="8504"/>
      </w:tabs>
      <w:snapToGrid w:val="0"/>
    </w:pPr>
  </w:style>
  <w:style w:type="character" w:customStyle="1" w:styleId="a9">
    <w:name w:val="フッター (文字)"/>
    <w:basedOn w:val="a0"/>
    <w:link w:val="a8"/>
    <w:uiPriority w:val="99"/>
    <w:semiHidden/>
    <w:rsid w:val="00715725"/>
    <w:rPr>
      <w:szCs w:val="24"/>
    </w:rPr>
  </w:style>
  <w:style w:type="paragraph" w:styleId="Web">
    <w:name w:val="Normal (Web)"/>
    <w:basedOn w:val="a"/>
    <w:uiPriority w:val="99"/>
    <w:semiHidden/>
    <w:unhideWhenUsed/>
    <w:rsid w:val="001B60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A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9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997"/>
    <w:rPr>
      <w:rFonts w:asciiTheme="majorHAnsi" w:eastAsiaTheme="majorEastAsia" w:hAnsiTheme="majorHAnsi" w:cstheme="majorBidi"/>
      <w:sz w:val="18"/>
      <w:szCs w:val="18"/>
    </w:rPr>
  </w:style>
  <w:style w:type="paragraph" w:styleId="a5">
    <w:name w:val="List Paragraph"/>
    <w:basedOn w:val="a"/>
    <w:uiPriority w:val="34"/>
    <w:qFormat/>
    <w:rsid w:val="00721997"/>
    <w:pPr>
      <w:ind w:leftChars="400" w:left="840"/>
    </w:pPr>
  </w:style>
  <w:style w:type="paragraph" w:styleId="a6">
    <w:name w:val="header"/>
    <w:basedOn w:val="a"/>
    <w:link w:val="a7"/>
    <w:uiPriority w:val="99"/>
    <w:semiHidden/>
    <w:unhideWhenUsed/>
    <w:rsid w:val="00715725"/>
    <w:pPr>
      <w:tabs>
        <w:tab w:val="center" w:pos="4252"/>
        <w:tab w:val="right" w:pos="8504"/>
      </w:tabs>
      <w:snapToGrid w:val="0"/>
    </w:pPr>
  </w:style>
  <w:style w:type="character" w:customStyle="1" w:styleId="a7">
    <w:name w:val="ヘッダー (文字)"/>
    <w:basedOn w:val="a0"/>
    <w:link w:val="a6"/>
    <w:uiPriority w:val="99"/>
    <w:semiHidden/>
    <w:rsid w:val="00715725"/>
    <w:rPr>
      <w:szCs w:val="24"/>
    </w:rPr>
  </w:style>
  <w:style w:type="paragraph" w:styleId="a8">
    <w:name w:val="footer"/>
    <w:basedOn w:val="a"/>
    <w:link w:val="a9"/>
    <w:uiPriority w:val="99"/>
    <w:semiHidden/>
    <w:unhideWhenUsed/>
    <w:rsid w:val="00715725"/>
    <w:pPr>
      <w:tabs>
        <w:tab w:val="center" w:pos="4252"/>
        <w:tab w:val="right" w:pos="8504"/>
      </w:tabs>
      <w:snapToGrid w:val="0"/>
    </w:pPr>
  </w:style>
  <w:style w:type="character" w:customStyle="1" w:styleId="a9">
    <w:name w:val="フッター (文字)"/>
    <w:basedOn w:val="a0"/>
    <w:link w:val="a8"/>
    <w:uiPriority w:val="99"/>
    <w:semiHidden/>
    <w:rsid w:val="00715725"/>
    <w:rPr>
      <w:szCs w:val="24"/>
    </w:rPr>
  </w:style>
  <w:style w:type="paragraph" w:styleId="Web">
    <w:name w:val="Normal (Web)"/>
    <w:basedOn w:val="a"/>
    <w:uiPriority w:val="99"/>
    <w:semiHidden/>
    <w:unhideWhenUsed/>
    <w:rsid w:val="001B60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A316-9CE8-4301-8076-5A856B13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 裕文</dc:creator>
  <cp:lastModifiedBy>福永 裕文</cp:lastModifiedBy>
  <cp:revision>3</cp:revision>
  <cp:lastPrinted>2014-01-10T02:36:00Z</cp:lastPrinted>
  <dcterms:created xsi:type="dcterms:W3CDTF">2014-01-28T06:47:00Z</dcterms:created>
  <dcterms:modified xsi:type="dcterms:W3CDTF">2014-01-28T06:48:00Z</dcterms:modified>
</cp:coreProperties>
</file>