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2C3" w:rsidRDefault="001B60D3" w:rsidP="00C632C3">
      <w:pPr>
        <w:spacing w:line="400" w:lineRule="exact"/>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1659264" behindDoc="0" locked="0" layoutInCell="1" allowOverlap="1" wp14:anchorId="3E7A27C3" wp14:editId="3F57AAC4">
                <wp:simplePos x="0" y="0"/>
                <wp:positionH relativeFrom="column">
                  <wp:posOffset>5237134</wp:posOffset>
                </wp:positionH>
                <wp:positionV relativeFrom="paragraph">
                  <wp:posOffset>-338917</wp:posOffset>
                </wp:positionV>
                <wp:extent cx="1052945" cy="471055"/>
                <wp:effectExtent l="0" t="0" r="13970" b="24765"/>
                <wp:wrapNone/>
                <wp:docPr id="2" name="正方形/長方形 1"/>
                <wp:cNvGraphicFramePr/>
                <a:graphic xmlns:a="http://schemas.openxmlformats.org/drawingml/2006/main">
                  <a:graphicData uri="http://schemas.microsoft.com/office/word/2010/wordprocessingShape">
                    <wps:wsp>
                      <wps:cNvSpPr/>
                      <wps:spPr>
                        <a:xfrm>
                          <a:off x="0" y="0"/>
                          <a:ext cx="1052945" cy="471055"/>
                        </a:xfrm>
                        <a:prstGeom prst="rect">
                          <a:avLst/>
                        </a:prstGeom>
                        <a:noFill/>
                        <a:ln w="19050" cap="flat" cmpd="sng" algn="ctr">
                          <a:solidFill>
                            <a:srgbClr val="4F81BD">
                              <a:shade val="50000"/>
                            </a:srgbClr>
                          </a:solidFill>
                          <a:prstDash val="solid"/>
                        </a:ln>
                        <a:effectLst/>
                      </wps:spPr>
                      <wps:txbx>
                        <w:txbxContent>
                          <w:p w:rsidR="001B60D3" w:rsidRDefault="001B60D3" w:rsidP="001B60D3">
                            <w:pPr>
                              <w:pStyle w:val="Web"/>
                              <w:spacing w:before="0" w:beforeAutospacing="0" w:after="0" w:afterAutospacing="0"/>
                              <w:jc w:val="center"/>
                              <w:rPr>
                                <w:rFonts w:ascii="Calibri" w:cs="+mn-cs"/>
                                <w:color w:val="000000"/>
                                <w:sz w:val="40"/>
                                <w:szCs w:val="40"/>
                              </w:rPr>
                            </w:pPr>
                            <w:r>
                              <w:rPr>
                                <w:rFonts w:ascii="Calibri" w:cs="+mn-cs" w:hint="eastAsia"/>
                                <w:color w:val="000000"/>
                                <w:sz w:val="40"/>
                                <w:szCs w:val="40"/>
                              </w:rPr>
                              <w:t>資料</w:t>
                            </w:r>
                            <w:r>
                              <w:rPr>
                                <w:rFonts w:ascii="Calibri" w:cs="+mn-cs" w:hint="eastAsia"/>
                                <w:color w:val="000000"/>
                                <w:sz w:val="40"/>
                                <w:szCs w:val="40"/>
                              </w:rPr>
                              <w:t>1</w:t>
                            </w:r>
                          </w:p>
                          <w:p w:rsidR="001B60D3" w:rsidRDefault="001B60D3" w:rsidP="001B60D3">
                            <w:pPr>
                              <w:pStyle w:val="Web"/>
                              <w:spacing w:before="0" w:beforeAutospacing="0" w:after="0" w:afterAutospacing="0"/>
                              <w:jc w:val="center"/>
                            </w:pPr>
                          </w:p>
                        </w:txbxContent>
                      </wps:txbx>
                      <wps:bodyPr vertOverflow="clip" horzOverflow="clip" lIns="0" tIns="0" rIns="0" bIns="0" rtlCol="0" anchor="ctr"/>
                    </wps:wsp>
                  </a:graphicData>
                </a:graphic>
              </wp:anchor>
            </w:drawing>
          </mc:Choice>
          <mc:Fallback>
            <w:pict>
              <v:rect id="正方形/長方形 1" o:spid="_x0000_s1026" style="position:absolute;left:0;text-align:left;margin-left:412.35pt;margin-top:-26.7pt;width:82.9pt;height:37.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" filled="f" strokecolor="#385d8a" strokeweight="1.5pt">
                <v:textbox inset="0,0,0,0">
                  <w:txbxContent>
                    <w:p w:rsidR="001B60D3" w:rsidRDefault="001B60D3" w:rsidP="001B60D3">
                      <w:pPr>
                        <w:pStyle w:val="Web"/>
                        <w:spacing w:before="0" w:beforeAutospacing="0" w:after="0" w:afterAutospacing="0"/>
                        <w:jc w:val="center"/>
                        <w:rPr>
                          <w:rFonts w:ascii="Calibri" w:cs="+mn-cs" w:hint="eastAsia"/>
                          <w:color w:val="000000"/>
                          <w:sz w:val="40"/>
                          <w:szCs w:val="40"/>
                        </w:rPr>
                      </w:pPr>
                      <w:r>
                        <w:rPr>
                          <w:rFonts w:ascii="Calibri" w:cs="+mn-cs" w:hint="eastAsia"/>
                          <w:color w:val="000000"/>
                          <w:sz w:val="40"/>
                          <w:szCs w:val="40"/>
                          <w:eastAsianLayout w:id="568585728"/>
                        </w:rPr>
                        <w:t>資料</w:t>
                      </w:r>
                      <w:r>
                        <w:rPr>
                          <w:rFonts w:ascii="Calibri" w:cs="+mn-cs" w:hint="eastAsia"/>
                          <w:color w:val="000000"/>
                          <w:sz w:val="40"/>
                          <w:szCs w:val="40"/>
                        </w:rPr>
                        <w:t>1</w:t>
                      </w:r>
                    </w:p>
                    <w:p w:rsidR="001B60D3" w:rsidRDefault="001B60D3" w:rsidP="001B60D3">
                      <w:pPr>
                        <w:pStyle w:val="Web"/>
                        <w:spacing w:before="0" w:beforeAutospacing="0" w:after="0" w:afterAutospacing="0"/>
                        <w:jc w:val="center"/>
                      </w:pPr>
                    </w:p>
                  </w:txbxContent>
                </v:textbox>
              </v:rect>
            </w:pict>
          </mc:Fallback>
        </mc:AlternateContent>
      </w:r>
    </w:p>
    <w:p w:rsidR="00C632C3" w:rsidRPr="00081CC3" w:rsidRDefault="00C632C3" w:rsidP="00C632C3">
      <w:pPr>
        <w:spacing w:line="400" w:lineRule="exact"/>
        <w:jc w:val="center"/>
        <w:rPr>
          <w:rFonts w:ascii="ＭＳ ゴシック" w:eastAsia="ＭＳ ゴシック" w:hAnsi="ＭＳ ゴシック"/>
          <w:b/>
          <w:sz w:val="26"/>
          <w:szCs w:val="26"/>
        </w:rPr>
      </w:pPr>
      <w:r w:rsidRPr="00081CC3">
        <w:rPr>
          <w:rFonts w:ascii="ＭＳ ゴシック" w:eastAsia="ＭＳ ゴシック" w:hAnsi="ＭＳ ゴシック" w:hint="eastAsia"/>
          <w:b/>
          <w:sz w:val="26"/>
          <w:szCs w:val="26"/>
        </w:rPr>
        <w:t>第１回調査研究協議会</w:t>
      </w:r>
      <w:r w:rsidR="001B60D3">
        <w:rPr>
          <w:rFonts w:ascii="ＭＳ ゴシック" w:eastAsia="ＭＳ ゴシック" w:hAnsi="ＭＳ ゴシック" w:hint="eastAsia"/>
          <w:b/>
          <w:sz w:val="26"/>
          <w:szCs w:val="26"/>
        </w:rPr>
        <w:t>のまとめ</w:t>
      </w:r>
    </w:p>
    <w:p w:rsidR="00C632C3" w:rsidRDefault="00C632C3" w:rsidP="00C632C3">
      <w:pPr>
        <w:spacing w:line="360" w:lineRule="exact"/>
        <w:rPr>
          <w:rFonts w:ascii="ＭＳ ゴシック" w:eastAsia="ＭＳ ゴシック" w:hAnsi="ＭＳ ゴシック" w:hint="eastAsia"/>
          <w:sz w:val="24"/>
        </w:rPr>
      </w:pPr>
    </w:p>
    <w:p w:rsidR="00E91632" w:rsidRPr="00E91632" w:rsidRDefault="00E91632" w:rsidP="00C632C3">
      <w:pPr>
        <w:spacing w:line="360" w:lineRule="exact"/>
        <w:rPr>
          <w:rFonts w:ascii="ＭＳ ゴシック" w:eastAsia="ＭＳ ゴシック" w:hAnsi="ＭＳ ゴシック"/>
          <w:sz w:val="24"/>
        </w:rPr>
      </w:pPr>
      <w:bookmarkStart w:id="0" w:name="_GoBack"/>
      <w:bookmarkEnd w:id="0"/>
    </w:p>
    <w:p w:rsidR="00C632C3" w:rsidRPr="004C7AB8" w:rsidRDefault="00C632C3" w:rsidP="00C632C3">
      <w:pPr>
        <w:pStyle w:val="a5"/>
        <w:ind w:leftChars="50" w:left="345" w:hangingChars="100" w:hanging="240"/>
        <w:rPr>
          <w:rFonts w:ascii="ＭＳ ゴシック" w:eastAsia="ＭＳ ゴシック" w:hAnsi="ＭＳ ゴシック"/>
          <w:color w:val="0070C0"/>
          <w:sz w:val="24"/>
        </w:rPr>
      </w:pPr>
      <w:r w:rsidRPr="004C7AB8">
        <w:rPr>
          <w:rFonts w:ascii="ＭＳ ゴシック" w:eastAsia="ＭＳ ゴシック" w:hAnsi="ＭＳ ゴシック"/>
          <w:color w:val="0070C0"/>
          <w:sz w:val="24"/>
        </w:rPr>
        <w:t>(1)</w:t>
      </w:r>
      <w:r w:rsidRPr="004C7AB8">
        <w:rPr>
          <w:rFonts w:ascii="ＭＳ ゴシック" w:eastAsia="ＭＳ ゴシック" w:hAnsi="ＭＳ ゴシック" w:hint="eastAsia"/>
          <w:color w:val="0070C0"/>
          <w:sz w:val="24"/>
        </w:rPr>
        <w:t xml:space="preserve">　基幹病院の連携強化</w:t>
      </w:r>
      <w:r w:rsidR="001B60D3">
        <w:rPr>
          <w:rFonts w:ascii="ＭＳ ゴシック" w:eastAsia="ＭＳ ゴシック" w:hAnsi="ＭＳ ゴシック" w:hint="eastAsia"/>
          <w:color w:val="0070C0"/>
          <w:sz w:val="24"/>
        </w:rPr>
        <w:t>など</w:t>
      </w:r>
      <w:r w:rsidRPr="004C7AB8">
        <w:rPr>
          <w:rFonts w:ascii="ＭＳ ゴシック" w:eastAsia="ＭＳ ゴシック" w:hAnsi="ＭＳ ゴシック" w:hint="eastAsia"/>
          <w:color w:val="0070C0"/>
          <w:sz w:val="24"/>
        </w:rPr>
        <w:t>により，医療の質を高め，患者にとって最適な医療体制を目指すことが重要であること。</w:t>
      </w:r>
    </w:p>
    <w:p w:rsidR="00C632C3" w:rsidRPr="004C7AB8" w:rsidRDefault="00C632C3" w:rsidP="00C632C3">
      <w:pPr>
        <w:spacing w:line="160" w:lineRule="exact"/>
        <w:rPr>
          <w:rFonts w:ascii="ＭＳ 明朝"/>
          <w:color w:val="000000"/>
          <w:sz w:val="24"/>
        </w:rPr>
      </w:pPr>
    </w:p>
    <w:p w:rsidR="00C632C3" w:rsidRPr="004C7AB8" w:rsidRDefault="00C632C3" w:rsidP="00C632C3">
      <w:pPr>
        <w:pStyle w:val="a5"/>
        <w:spacing w:line="340" w:lineRule="exact"/>
        <w:ind w:leftChars="100" w:left="210" w:firstLineChars="100" w:firstLine="220"/>
        <w:rPr>
          <w:rFonts w:ascii="ＭＳ 明朝"/>
          <w:color w:val="000000"/>
          <w:sz w:val="22"/>
          <w:szCs w:val="22"/>
        </w:rPr>
      </w:pPr>
      <w:r w:rsidRPr="004C7AB8">
        <w:rPr>
          <w:rFonts w:ascii="ＭＳ 明朝" w:hAnsi="ＭＳ 明朝" w:hint="eastAsia"/>
          <w:color w:val="000000"/>
          <w:sz w:val="22"/>
          <w:szCs w:val="22"/>
        </w:rPr>
        <w:t>高齢化の進展に伴い，現状の医療提供体制のままでは，今後の医療需要の増加に対応できなくなるおそれがある。医療体制の実態と１０～２０年後のあるべき理想像とのギャップを埋めていく必要があり，その際，効率性の観点ばかりでなく，病院間の利害を越えて医療の質を高め，患者にとって最適な医療体制の実現を目指すことが重要である。</w:t>
      </w:r>
    </w:p>
    <w:p w:rsidR="00C632C3" w:rsidRPr="004C7AB8" w:rsidRDefault="00C632C3" w:rsidP="00C632C3">
      <w:pPr>
        <w:pStyle w:val="a5"/>
        <w:spacing w:line="340" w:lineRule="exact"/>
        <w:ind w:leftChars="100" w:left="210" w:firstLineChars="100" w:firstLine="220"/>
        <w:rPr>
          <w:rFonts w:ascii="ＭＳ 明朝"/>
          <w:color w:val="000000"/>
          <w:sz w:val="22"/>
          <w:szCs w:val="22"/>
        </w:rPr>
      </w:pPr>
      <w:r w:rsidRPr="004C7AB8">
        <w:rPr>
          <w:rFonts w:ascii="ＭＳ 明朝" w:hAnsi="ＭＳ 明朝" w:hint="eastAsia"/>
          <w:color w:val="000000"/>
          <w:sz w:val="22"/>
          <w:szCs w:val="22"/>
        </w:rPr>
        <w:t>このため，高精度放射線治療センター（仮称）を基幹病院連携の好事例としてさらなる連携強化を図り，国の政策とも連動しながら，病診連携，在宅医療の充実強化も含めて包括的な医療体制を目指す必要がある。</w:t>
      </w:r>
    </w:p>
    <w:p w:rsidR="00C632C3" w:rsidRPr="004C7AB8" w:rsidRDefault="00C632C3" w:rsidP="00C632C3">
      <w:pPr>
        <w:pStyle w:val="a5"/>
        <w:spacing w:line="340" w:lineRule="exact"/>
        <w:ind w:leftChars="100" w:left="210" w:firstLineChars="100" w:firstLine="220"/>
        <w:rPr>
          <w:rFonts w:ascii="ＭＳ 明朝"/>
          <w:color w:val="000000"/>
          <w:sz w:val="22"/>
          <w:szCs w:val="22"/>
        </w:rPr>
      </w:pPr>
      <w:r w:rsidRPr="004C7AB8">
        <w:rPr>
          <w:rFonts w:ascii="ＭＳ 明朝" w:hAnsi="ＭＳ 明朝" w:hint="eastAsia"/>
          <w:color w:val="000000"/>
          <w:sz w:val="22"/>
          <w:szCs w:val="22"/>
        </w:rPr>
        <w:t>さらに，我が国の医療体制は，高齢化が進む諸外国からも注目されており，本県の事例が超高齢社会のモデルケースとなるよう，広島医療界の総力をあげて，強力なリーダーシップをもって取り組んでいくことが重要である。</w:t>
      </w:r>
    </w:p>
    <w:p w:rsidR="00C632C3" w:rsidRPr="004C7AB8" w:rsidRDefault="00C632C3" w:rsidP="00C632C3">
      <w:pPr>
        <w:pStyle w:val="a5"/>
        <w:ind w:leftChars="0" w:left="0"/>
        <w:rPr>
          <w:rFonts w:ascii="ＭＳ ゴシック" w:eastAsia="ＭＳ ゴシック" w:hAnsi="ＭＳ ゴシック"/>
          <w:color w:val="000000"/>
          <w:sz w:val="24"/>
        </w:rPr>
      </w:pPr>
    </w:p>
    <w:p w:rsidR="00C632C3" w:rsidRPr="004C7AB8" w:rsidRDefault="00C632C3" w:rsidP="00C632C3">
      <w:pPr>
        <w:pStyle w:val="a5"/>
        <w:ind w:leftChars="50" w:left="345" w:hangingChars="100" w:hanging="240"/>
        <w:rPr>
          <w:rFonts w:ascii="ＭＳ ゴシック" w:eastAsia="ＭＳ ゴシック" w:hAnsi="ＭＳ ゴシック"/>
          <w:color w:val="000000"/>
          <w:sz w:val="24"/>
        </w:rPr>
      </w:pPr>
      <w:r w:rsidRPr="004C7AB8">
        <w:rPr>
          <w:rFonts w:ascii="ＭＳ ゴシック" w:eastAsia="ＭＳ ゴシック" w:hAnsi="ＭＳ ゴシック"/>
          <w:color w:val="0070C0"/>
          <w:sz w:val="24"/>
        </w:rPr>
        <w:t>(2)</w:t>
      </w:r>
      <w:r w:rsidRPr="004C7AB8">
        <w:rPr>
          <w:rFonts w:ascii="ＭＳ ゴシック" w:eastAsia="ＭＳ ゴシック" w:hAnsi="ＭＳ ゴシック" w:hint="eastAsia"/>
          <w:color w:val="0070C0"/>
          <w:sz w:val="24"/>
        </w:rPr>
        <w:t xml:space="preserve">　症例を集積することにより，治療効果の向上が期待できるとともに，若手医師を惹きつける医療環境の魅力アップを図ることができること。</w:t>
      </w:r>
    </w:p>
    <w:p w:rsidR="00C632C3" w:rsidRPr="004C7AB8" w:rsidRDefault="00C632C3" w:rsidP="00C632C3">
      <w:pPr>
        <w:spacing w:line="160" w:lineRule="exact"/>
        <w:rPr>
          <w:rFonts w:ascii="ＭＳ 明朝"/>
          <w:color w:val="000000"/>
          <w:sz w:val="24"/>
        </w:rPr>
      </w:pPr>
    </w:p>
    <w:p w:rsidR="00C632C3" w:rsidRPr="004C7AB8" w:rsidRDefault="00C632C3" w:rsidP="00C632C3">
      <w:pPr>
        <w:pStyle w:val="a5"/>
        <w:spacing w:line="340" w:lineRule="exact"/>
        <w:ind w:leftChars="100" w:left="210" w:firstLineChars="100" w:firstLine="220"/>
        <w:rPr>
          <w:rFonts w:ascii="ＭＳ 明朝"/>
          <w:color w:val="000000"/>
          <w:sz w:val="22"/>
          <w:szCs w:val="22"/>
        </w:rPr>
      </w:pPr>
      <w:r w:rsidRPr="004C7AB8">
        <w:rPr>
          <w:rFonts w:ascii="ＭＳ 明朝" w:hAnsi="ＭＳ 明朝" w:hint="eastAsia"/>
          <w:color w:val="000000"/>
          <w:sz w:val="22"/>
          <w:szCs w:val="22"/>
        </w:rPr>
        <w:t>症例数と死亡率の負の相関関係に見られるように，症例の集積によって治療効果の向上が期待できるとともに，症例数の多さは，専門医を目指す若手医師を惹きつける大きな魅力となる。症例集積の方法については，例えば，希少疾患を特定の病院に集約することは検討に値するが，複合疾患に対応できるよう，過度な集約を避けて総合病院の機能を維持すべきである。</w:t>
      </w:r>
    </w:p>
    <w:p w:rsidR="00C632C3" w:rsidRPr="004C7AB8" w:rsidRDefault="00C632C3" w:rsidP="00C632C3">
      <w:pPr>
        <w:pStyle w:val="a5"/>
        <w:spacing w:line="340" w:lineRule="exact"/>
        <w:ind w:leftChars="100" w:left="210" w:firstLineChars="100" w:firstLine="220"/>
        <w:rPr>
          <w:rFonts w:ascii="ＭＳ 明朝"/>
          <w:color w:val="000000"/>
          <w:sz w:val="22"/>
          <w:szCs w:val="22"/>
        </w:rPr>
      </w:pPr>
      <w:r w:rsidRPr="004C7AB8">
        <w:rPr>
          <w:rFonts w:ascii="ＭＳ 明朝" w:hAnsi="ＭＳ 明朝" w:hint="eastAsia"/>
          <w:color w:val="000000"/>
          <w:sz w:val="22"/>
          <w:szCs w:val="22"/>
        </w:rPr>
        <w:t>それぞれの病院の特徴を活かしながら専門領域を充実させていくとともに，救急医療など慢性的に医師が不足している分野においては，マンパワーの確保など病院間の一層の連携が求められる。医療費適正化の観点からも，医療資源が分散している状態は非効率である。</w:t>
      </w:r>
    </w:p>
    <w:p w:rsidR="00C632C3" w:rsidRPr="004C7AB8" w:rsidRDefault="00C632C3" w:rsidP="00C632C3">
      <w:pPr>
        <w:rPr>
          <w:rFonts w:ascii="ＭＳ 明朝"/>
          <w:color w:val="000000"/>
          <w:sz w:val="24"/>
        </w:rPr>
      </w:pPr>
    </w:p>
    <w:p w:rsidR="00C632C3" w:rsidRPr="004C7AB8" w:rsidRDefault="00C632C3" w:rsidP="00C632C3">
      <w:pPr>
        <w:pStyle w:val="a5"/>
        <w:ind w:leftChars="50" w:left="345" w:hangingChars="100" w:hanging="240"/>
        <w:rPr>
          <w:rFonts w:ascii="ＭＳ ゴシック" w:eastAsia="ＭＳ ゴシック" w:hAnsi="ＭＳ ゴシック"/>
          <w:color w:val="000000"/>
          <w:sz w:val="24"/>
        </w:rPr>
      </w:pPr>
      <w:r w:rsidRPr="004C7AB8">
        <w:rPr>
          <w:rFonts w:ascii="ＭＳ ゴシック" w:eastAsia="ＭＳ ゴシック" w:hAnsi="ＭＳ ゴシック"/>
          <w:color w:val="0070C0"/>
          <w:sz w:val="24"/>
        </w:rPr>
        <w:t>(3)</w:t>
      </w:r>
      <w:r w:rsidRPr="004C7AB8">
        <w:rPr>
          <w:rFonts w:ascii="ＭＳ ゴシック" w:eastAsia="ＭＳ ゴシック" w:hAnsi="ＭＳ ゴシック" w:hint="eastAsia"/>
          <w:color w:val="0070C0"/>
          <w:sz w:val="24"/>
        </w:rPr>
        <w:t xml:space="preserve">　基幹病院間の人事交流や臨床研修医の相互派遣，医薬品の共同購買など，効果が明らかな連携については，早急に取り組むべきであること。</w:t>
      </w:r>
    </w:p>
    <w:p w:rsidR="00C632C3" w:rsidRPr="004C7AB8" w:rsidRDefault="00C632C3" w:rsidP="00C632C3">
      <w:pPr>
        <w:pStyle w:val="a5"/>
        <w:spacing w:line="160" w:lineRule="exact"/>
        <w:ind w:leftChars="0" w:left="0"/>
        <w:rPr>
          <w:rFonts w:ascii="ＭＳ 明朝"/>
          <w:color w:val="000000"/>
          <w:sz w:val="24"/>
        </w:rPr>
      </w:pPr>
    </w:p>
    <w:p w:rsidR="00C632C3" w:rsidRPr="004C7AB8" w:rsidRDefault="00C632C3" w:rsidP="00C632C3">
      <w:pPr>
        <w:pStyle w:val="a5"/>
        <w:spacing w:line="340" w:lineRule="exact"/>
        <w:ind w:leftChars="100" w:left="210" w:firstLineChars="100" w:firstLine="220"/>
        <w:rPr>
          <w:rFonts w:ascii="ＭＳ 明朝"/>
          <w:color w:val="000000"/>
          <w:sz w:val="22"/>
          <w:szCs w:val="22"/>
        </w:rPr>
      </w:pPr>
      <w:r w:rsidRPr="004C7AB8">
        <w:rPr>
          <w:rFonts w:ascii="ＭＳ 明朝" w:hAnsi="ＭＳ 明朝" w:hint="eastAsia"/>
          <w:color w:val="000000"/>
          <w:sz w:val="22"/>
          <w:szCs w:val="22"/>
        </w:rPr>
        <w:t>医師・看護師等の人事交流や臨床研修医の“たすき掛け”については，給与等に不利益が生じないよう，勤務条件に留意しつつ，積極的に取り組むべきである。また，海外からの医師の受入れなど，これまでの取組を活かしながら，国際的な人材交流をさらに拡大していく必要がある。</w:t>
      </w:r>
    </w:p>
    <w:p w:rsidR="00C632C3" w:rsidRPr="004C7AB8" w:rsidRDefault="00C632C3" w:rsidP="00C632C3">
      <w:pPr>
        <w:pStyle w:val="a5"/>
        <w:spacing w:line="340" w:lineRule="exact"/>
        <w:ind w:leftChars="100" w:left="210" w:firstLineChars="100" w:firstLine="220"/>
        <w:rPr>
          <w:rFonts w:ascii="ＭＳ 明朝"/>
          <w:color w:val="000000"/>
          <w:sz w:val="22"/>
          <w:szCs w:val="22"/>
        </w:rPr>
      </w:pPr>
      <w:r w:rsidRPr="004C7AB8">
        <w:rPr>
          <w:rFonts w:ascii="ＭＳ 明朝" w:hAnsi="ＭＳ 明朝" w:hint="eastAsia"/>
          <w:color w:val="000000"/>
          <w:sz w:val="22"/>
          <w:szCs w:val="22"/>
        </w:rPr>
        <w:t>高額な医療機器を共同購入・共同利用することができれば，採算面からも機器の有効利用が図れるとともに，複合疾患の増加に伴って，患者カルテの共有など情報系システムの高度化・共有化も必要となってくることが考えられる。</w:t>
      </w:r>
    </w:p>
    <w:p w:rsidR="00C632C3" w:rsidRPr="004C7AB8" w:rsidRDefault="00C632C3" w:rsidP="00C632C3">
      <w:pPr>
        <w:pStyle w:val="a5"/>
        <w:spacing w:line="340" w:lineRule="exact"/>
        <w:ind w:leftChars="100" w:left="210" w:firstLineChars="100" w:firstLine="220"/>
        <w:rPr>
          <w:rFonts w:ascii="ＭＳ ゴシック" w:eastAsia="ＭＳ ゴシック" w:hAnsi="ＭＳ ゴシック"/>
          <w:sz w:val="24"/>
        </w:rPr>
      </w:pPr>
      <w:r w:rsidRPr="004C7AB8">
        <w:rPr>
          <w:rFonts w:ascii="ＭＳ 明朝" w:hAnsi="ＭＳ 明朝" w:hint="eastAsia"/>
          <w:color w:val="000000"/>
          <w:sz w:val="22"/>
          <w:szCs w:val="22"/>
        </w:rPr>
        <w:t>医薬品の共同購買や委託業務の共同化など，効果が相当見込まれる連携については，早急に検討に着手すべきである。</w:t>
      </w:r>
    </w:p>
    <w:sectPr w:rsidR="00C632C3" w:rsidRPr="004C7AB8" w:rsidSect="0002032C">
      <w:pgSz w:w="11906" w:h="16838"/>
      <w:pgMar w:top="1021" w:right="1418" w:bottom="79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7D9" w:rsidRDefault="002757D9" w:rsidP="00715725">
      <w:r>
        <w:separator/>
      </w:r>
    </w:p>
  </w:endnote>
  <w:endnote w:type="continuationSeparator" w:id="0">
    <w:p w:rsidR="002757D9" w:rsidRDefault="002757D9" w:rsidP="0071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7D9" w:rsidRDefault="002757D9" w:rsidP="00715725">
      <w:r>
        <w:separator/>
      </w:r>
    </w:p>
  </w:footnote>
  <w:footnote w:type="continuationSeparator" w:id="0">
    <w:p w:rsidR="002757D9" w:rsidRDefault="002757D9" w:rsidP="00715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FFF"/>
    <w:multiLevelType w:val="hybridMultilevel"/>
    <w:tmpl w:val="5B0C405C"/>
    <w:lvl w:ilvl="0" w:tplc="DCD45D20">
      <w:start w:val="1"/>
      <w:numFmt w:val="decimal"/>
      <w:lvlText w:val="(%1)"/>
      <w:lvlJc w:val="left"/>
      <w:pPr>
        <w:ind w:left="360" w:hanging="360"/>
      </w:pPr>
      <w:rPr>
        <w:rFonts w:hint="default"/>
      </w:rPr>
    </w:lvl>
    <w:lvl w:ilvl="1" w:tplc="5B508C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21724D"/>
    <w:multiLevelType w:val="hybridMultilevel"/>
    <w:tmpl w:val="76C27ABA"/>
    <w:lvl w:ilvl="0" w:tplc="74404A0E">
      <w:start w:val="1"/>
      <w:numFmt w:val="decimal"/>
      <w:lvlText w:val="(%1)"/>
      <w:lvlJc w:val="left"/>
      <w:pPr>
        <w:ind w:left="393" w:hanging="39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EB58B7"/>
    <w:multiLevelType w:val="hybridMultilevel"/>
    <w:tmpl w:val="B55E4762"/>
    <w:lvl w:ilvl="0" w:tplc="FC7E3312">
      <w:start w:val="3"/>
      <w:numFmt w:val="bullet"/>
      <w:lvlText w:val="・"/>
      <w:lvlJc w:val="left"/>
      <w:pPr>
        <w:ind w:left="885" w:hanging="360"/>
      </w:pPr>
      <w:rPr>
        <w:rFonts w:ascii="ＭＳ 明朝" w:eastAsia="ＭＳ 明朝" w:hAnsi="ＭＳ 明朝" w:cs="Times New Roman" w:hint="eastAsia"/>
        <w:lang w:val="en-US"/>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
    <w:nsid w:val="70780371"/>
    <w:multiLevelType w:val="hybridMultilevel"/>
    <w:tmpl w:val="E9D8B088"/>
    <w:lvl w:ilvl="0" w:tplc="148A39AC">
      <w:start w:val="1"/>
      <w:numFmt w:val="decimal"/>
      <w:lvlText w:val="(%1)"/>
      <w:lvlJc w:val="left"/>
      <w:pPr>
        <w:ind w:left="541" w:hanging="436"/>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nsid w:val="74C27A16"/>
    <w:multiLevelType w:val="hybridMultilevel"/>
    <w:tmpl w:val="02281F44"/>
    <w:lvl w:ilvl="0" w:tplc="43D00A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AAE"/>
    <w:rsid w:val="0001430D"/>
    <w:rsid w:val="0002032C"/>
    <w:rsid w:val="0008548D"/>
    <w:rsid w:val="000E6E46"/>
    <w:rsid w:val="00120E98"/>
    <w:rsid w:val="001247C8"/>
    <w:rsid w:val="001811AC"/>
    <w:rsid w:val="001B60D3"/>
    <w:rsid w:val="001F54F9"/>
    <w:rsid w:val="002326B8"/>
    <w:rsid w:val="002757D9"/>
    <w:rsid w:val="00283E17"/>
    <w:rsid w:val="002A6E02"/>
    <w:rsid w:val="003066AD"/>
    <w:rsid w:val="003C59B3"/>
    <w:rsid w:val="004A7BC8"/>
    <w:rsid w:val="004C0ED2"/>
    <w:rsid w:val="004F0C87"/>
    <w:rsid w:val="0056028B"/>
    <w:rsid w:val="00572C02"/>
    <w:rsid w:val="005865C8"/>
    <w:rsid w:val="005B2D4D"/>
    <w:rsid w:val="00701759"/>
    <w:rsid w:val="00706E4E"/>
    <w:rsid w:val="00714A73"/>
    <w:rsid w:val="00715725"/>
    <w:rsid w:val="00721997"/>
    <w:rsid w:val="00761B2B"/>
    <w:rsid w:val="008E2A94"/>
    <w:rsid w:val="009A014C"/>
    <w:rsid w:val="00A36C87"/>
    <w:rsid w:val="00A805EE"/>
    <w:rsid w:val="00AE4399"/>
    <w:rsid w:val="00B124EB"/>
    <w:rsid w:val="00B57080"/>
    <w:rsid w:val="00BA6D12"/>
    <w:rsid w:val="00BB7A2E"/>
    <w:rsid w:val="00BF3C1D"/>
    <w:rsid w:val="00C04AAE"/>
    <w:rsid w:val="00C3316A"/>
    <w:rsid w:val="00C3421A"/>
    <w:rsid w:val="00C632C3"/>
    <w:rsid w:val="00C65BD1"/>
    <w:rsid w:val="00D572E2"/>
    <w:rsid w:val="00DA5EF1"/>
    <w:rsid w:val="00E91632"/>
    <w:rsid w:val="00F359DE"/>
    <w:rsid w:val="00FA7828"/>
    <w:rsid w:val="00FB6315"/>
    <w:rsid w:val="00FB73E2"/>
    <w:rsid w:val="00FC6433"/>
    <w:rsid w:val="00FF28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1A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19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1997"/>
    <w:rPr>
      <w:rFonts w:asciiTheme="majorHAnsi" w:eastAsiaTheme="majorEastAsia" w:hAnsiTheme="majorHAnsi" w:cstheme="majorBidi"/>
      <w:sz w:val="18"/>
      <w:szCs w:val="18"/>
    </w:rPr>
  </w:style>
  <w:style w:type="paragraph" w:styleId="a5">
    <w:name w:val="List Paragraph"/>
    <w:basedOn w:val="a"/>
    <w:uiPriority w:val="34"/>
    <w:qFormat/>
    <w:rsid w:val="00721997"/>
    <w:pPr>
      <w:ind w:leftChars="400" w:left="840"/>
    </w:pPr>
  </w:style>
  <w:style w:type="paragraph" w:styleId="a6">
    <w:name w:val="header"/>
    <w:basedOn w:val="a"/>
    <w:link w:val="a7"/>
    <w:uiPriority w:val="99"/>
    <w:semiHidden/>
    <w:unhideWhenUsed/>
    <w:rsid w:val="00715725"/>
    <w:pPr>
      <w:tabs>
        <w:tab w:val="center" w:pos="4252"/>
        <w:tab w:val="right" w:pos="8504"/>
      </w:tabs>
      <w:snapToGrid w:val="0"/>
    </w:pPr>
  </w:style>
  <w:style w:type="character" w:customStyle="1" w:styleId="a7">
    <w:name w:val="ヘッダー (文字)"/>
    <w:basedOn w:val="a0"/>
    <w:link w:val="a6"/>
    <w:uiPriority w:val="99"/>
    <w:semiHidden/>
    <w:rsid w:val="00715725"/>
    <w:rPr>
      <w:szCs w:val="24"/>
    </w:rPr>
  </w:style>
  <w:style w:type="paragraph" w:styleId="a8">
    <w:name w:val="footer"/>
    <w:basedOn w:val="a"/>
    <w:link w:val="a9"/>
    <w:uiPriority w:val="99"/>
    <w:semiHidden/>
    <w:unhideWhenUsed/>
    <w:rsid w:val="00715725"/>
    <w:pPr>
      <w:tabs>
        <w:tab w:val="center" w:pos="4252"/>
        <w:tab w:val="right" w:pos="8504"/>
      </w:tabs>
      <w:snapToGrid w:val="0"/>
    </w:pPr>
  </w:style>
  <w:style w:type="character" w:customStyle="1" w:styleId="a9">
    <w:name w:val="フッター (文字)"/>
    <w:basedOn w:val="a0"/>
    <w:link w:val="a8"/>
    <w:uiPriority w:val="99"/>
    <w:semiHidden/>
    <w:rsid w:val="00715725"/>
    <w:rPr>
      <w:szCs w:val="24"/>
    </w:rPr>
  </w:style>
  <w:style w:type="paragraph" w:styleId="Web">
    <w:name w:val="Normal (Web)"/>
    <w:basedOn w:val="a"/>
    <w:uiPriority w:val="99"/>
    <w:semiHidden/>
    <w:unhideWhenUsed/>
    <w:rsid w:val="001B60D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1A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19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1997"/>
    <w:rPr>
      <w:rFonts w:asciiTheme="majorHAnsi" w:eastAsiaTheme="majorEastAsia" w:hAnsiTheme="majorHAnsi" w:cstheme="majorBidi"/>
      <w:sz w:val="18"/>
      <w:szCs w:val="18"/>
    </w:rPr>
  </w:style>
  <w:style w:type="paragraph" w:styleId="a5">
    <w:name w:val="List Paragraph"/>
    <w:basedOn w:val="a"/>
    <w:uiPriority w:val="34"/>
    <w:qFormat/>
    <w:rsid w:val="00721997"/>
    <w:pPr>
      <w:ind w:leftChars="400" w:left="840"/>
    </w:pPr>
  </w:style>
  <w:style w:type="paragraph" w:styleId="a6">
    <w:name w:val="header"/>
    <w:basedOn w:val="a"/>
    <w:link w:val="a7"/>
    <w:uiPriority w:val="99"/>
    <w:semiHidden/>
    <w:unhideWhenUsed/>
    <w:rsid w:val="00715725"/>
    <w:pPr>
      <w:tabs>
        <w:tab w:val="center" w:pos="4252"/>
        <w:tab w:val="right" w:pos="8504"/>
      </w:tabs>
      <w:snapToGrid w:val="0"/>
    </w:pPr>
  </w:style>
  <w:style w:type="character" w:customStyle="1" w:styleId="a7">
    <w:name w:val="ヘッダー (文字)"/>
    <w:basedOn w:val="a0"/>
    <w:link w:val="a6"/>
    <w:uiPriority w:val="99"/>
    <w:semiHidden/>
    <w:rsid w:val="00715725"/>
    <w:rPr>
      <w:szCs w:val="24"/>
    </w:rPr>
  </w:style>
  <w:style w:type="paragraph" w:styleId="a8">
    <w:name w:val="footer"/>
    <w:basedOn w:val="a"/>
    <w:link w:val="a9"/>
    <w:uiPriority w:val="99"/>
    <w:semiHidden/>
    <w:unhideWhenUsed/>
    <w:rsid w:val="00715725"/>
    <w:pPr>
      <w:tabs>
        <w:tab w:val="center" w:pos="4252"/>
        <w:tab w:val="right" w:pos="8504"/>
      </w:tabs>
      <w:snapToGrid w:val="0"/>
    </w:pPr>
  </w:style>
  <w:style w:type="character" w:customStyle="1" w:styleId="a9">
    <w:name w:val="フッター (文字)"/>
    <w:basedOn w:val="a0"/>
    <w:link w:val="a8"/>
    <w:uiPriority w:val="99"/>
    <w:semiHidden/>
    <w:rsid w:val="00715725"/>
    <w:rPr>
      <w:szCs w:val="24"/>
    </w:rPr>
  </w:style>
  <w:style w:type="paragraph" w:styleId="Web">
    <w:name w:val="Normal (Web)"/>
    <w:basedOn w:val="a"/>
    <w:uiPriority w:val="99"/>
    <w:semiHidden/>
    <w:unhideWhenUsed/>
    <w:rsid w:val="001B60D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4A316-9CE8-4301-8076-5A856B138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福永 裕文</dc:creator>
  <cp:lastModifiedBy>福永 裕文</cp:lastModifiedBy>
  <cp:revision>3</cp:revision>
  <cp:lastPrinted>2014-01-10T02:36:00Z</cp:lastPrinted>
  <dcterms:created xsi:type="dcterms:W3CDTF">2014-01-28T06:47:00Z</dcterms:created>
  <dcterms:modified xsi:type="dcterms:W3CDTF">2014-01-28T06:48:00Z</dcterms:modified>
</cp:coreProperties>
</file>