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180" w:beforeLines="50" w:beforeAutospacing="0" w:after="0" w:afterLines="0" w:afterAutospacing="0" w:line="240" w:lineRule="exact"/>
        <w:jc w:val="center"/>
        <w:rPr>
          <w:rFonts w:hint="default"/>
          <w:color w:val="auto"/>
          <w:sz w:val="28"/>
        </w:rPr>
      </w:pPr>
      <w:bookmarkStart w:id="0" w:name="_GoBack"/>
      <w:bookmarkEnd w:id="0"/>
      <w:r>
        <w:rPr>
          <w:rFonts w:hint="eastAsia"/>
          <w:color w:val="auto"/>
          <w:sz w:val="28"/>
        </w:rPr>
        <w:t>仕様書</w:t>
      </w:r>
    </w:p>
    <w:p>
      <w:pPr>
        <w:pStyle w:val="0"/>
        <w:spacing w:before="180" w:beforeLines="50" w:beforeAutospacing="0" w:after="0" w:afterLines="0" w:afterAutospacing="0" w:line="240" w:lineRule="exact"/>
        <w:jc w:val="center"/>
        <w:rPr>
          <w:rFonts w:hint="default"/>
          <w:color w:val="auto"/>
          <w:sz w:val="28"/>
        </w:rPr>
      </w:pPr>
    </w:p>
    <w:p>
      <w:pPr>
        <w:pStyle w:val="0"/>
        <w:tabs>
          <w:tab w:val="left" w:leader="none" w:pos="5520"/>
        </w:tabs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１　品目</w:t>
      </w:r>
      <w:r>
        <w:rPr>
          <w:rFonts w:hint="default"/>
          <w:color w:val="auto"/>
        </w:rPr>
        <w:tab/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　　段ボールベッド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２　基準品</w:t>
      </w:r>
    </w:p>
    <w:p>
      <w:pPr>
        <w:pStyle w:val="0"/>
        <w:spacing w:after="0" w:afterLines="0" w:afterAutospacing="0" w:line="240" w:lineRule="exact"/>
        <w:ind w:firstLine="440" w:firstLineChars="200"/>
        <w:rPr>
          <w:rFonts w:hint="default"/>
          <w:color w:val="auto"/>
        </w:rPr>
      </w:pPr>
      <w:r>
        <w:rPr>
          <w:rFonts w:hint="eastAsia"/>
          <w:color w:val="auto"/>
        </w:rPr>
        <w:t>SSE</w:t>
      </w:r>
      <w:r>
        <w:rPr>
          <w:rFonts w:hint="eastAsia"/>
          <w:color w:val="auto"/>
        </w:rPr>
        <w:t>段ボールベッド（瀬川工業株式会社）　（同等品可）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３　数量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</w:t>
      </w:r>
      <w:r>
        <w:rPr>
          <w:rFonts w:hint="eastAsia"/>
          <w:color w:val="auto"/>
        </w:rPr>
        <w:t>3,000</w:t>
      </w:r>
      <w:r>
        <w:rPr>
          <w:rFonts w:hint="eastAsia"/>
          <w:color w:val="auto"/>
        </w:rPr>
        <w:t>セット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４　仕様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（１）全国段ボール工業組合連合会の推奨規格（スリーブ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個、</w:t>
      </w:r>
      <w:r>
        <w:rPr>
          <w:rFonts w:hint="eastAsia"/>
          <w:color w:val="auto"/>
        </w:rPr>
        <w:t>A</w:t>
      </w:r>
      <w:r>
        <w:rPr>
          <w:rFonts w:hint="eastAsia"/>
          <w:color w:val="auto"/>
        </w:rPr>
        <w:t>式集積タイプ）を満たすものであること。（別紙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参照）</w:t>
      </w:r>
    </w:p>
    <w:p>
      <w:pPr>
        <w:pStyle w:val="0"/>
        <w:spacing w:after="0" w:afterLines="0" w:afterAutospacing="0" w:line="240" w:lineRule="exact"/>
        <w:ind w:firstLine="440" w:firstLineChars="200"/>
        <w:rPr>
          <w:rFonts w:hint="default"/>
          <w:color w:val="auto"/>
        </w:rPr>
      </w:pPr>
      <w:r>
        <w:rPr>
          <w:rFonts w:hint="eastAsia"/>
          <w:color w:val="auto"/>
        </w:rPr>
        <w:t>【ベッド１セットあたりの内容】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　①本体スリーブ　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枚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　②</w:t>
      </w:r>
      <w:r>
        <w:rPr>
          <w:rFonts w:hint="eastAsia"/>
          <w:color w:val="auto"/>
        </w:rPr>
        <w:t>A</w:t>
      </w:r>
      <w:r>
        <w:rPr>
          <w:rFonts w:hint="eastAsia"/>
          <w:color w:val="auto"/>
        </w:rPr>
        <w:t>式ケース　６枚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　③天板・パーティション　４枚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　④クラフトテープ　１巻（</w:t>
      </w:r>
      <w:r>
        <w:rPr>
          <w:rFonts w:hint="eastAsia"/>
          <w:color w:val="auto"/>
        </w:rPr>
        <w:t>50m</w:t>
      </w:r>
      <w:r>
        <w:rPr>
          <w:rFonts w:hint="eastAsia"/>
          <w:color w:val="auto"/>
        </w:rPr>
        <w:t>巻）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　　⑤梱包箱　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（２）梱包箱には持ち運びしやすいように、切込みを入れる等により、持ち手を付けること。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（３）梱包箱は、全ての側面に「全段連推奨規格　段ボールベッド」と印刷すること。また、説明やイラスト等を用いた、わかりやすい組立説明書を側面２か所に印刷すること。印刷デザインについては、別紙１を参照すること。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５　納品場所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　　センコー株式会社　広島</w:t>
      </w:r>
      <w:r>
        <w:rPr>
          <w:rFonts w:hint="eastAsia"/>
          <w:color w:val="auto"/>
        </w:rPr>
        <w:t>PD</w:t>
      </w:r>
      <w:r>
        <w:rPr>
          <w:rFonts w:hint="eastAsia"/>
          <w:color w:val="auto"/>
        </w:rPr>
        <w:t>センター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　　広島県広島市安佐南区伴西三丁目４－</w:t>
      </w:r>
      <w:r>
        <w:rPr>
          <w:rFonts w:hint="eastAsia"/>
          <w:color w:val="auto"/>
        </w:rPr>
        <w:t>11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６　納品時期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　　令和７年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</w:rPr>
        <w:t>月１日（水）～令和８年１月</w:t>
      </w:r>
      <w:r>
        <w:rPr>
          <w:rFonts w:hint="eastAsia"/>
          <w:color w:val="auto"/>
        </w:rPr>
        <w:t>30</w:t>
      </w:r>
      <w:r>
        <w:rPr>
          <w:rFonts w:hint="eastAsia"/>
          <w:color w:val="auto"/>
        </w:rPr>
        <w:t>日（金）の間とする。</w:t>
      </w:r>
    </w:p>
    <w:p>
      <w:pPr>
        <w:pStyle w:val="0"/>
        <w:spacing w:after="0" w:afterLines="0" w:afterAutospacing="0" w:line="240" w:lineRule="exact"/>
        <w:ind w:left="880" w:hanging="880" w:hangingChars="400"/>
        <w:rPr>
          <w:rFonts w:hint="default"/>
          <w:color w:val="auto"/>
        </w:rPr>
      </w:pPr>
      <w:r>
        <w:rPr>
          <w:rFonts w:hint="eastAsia"/>
          <w:color w:val="auto"/>
        </w:rPr>
        <w:t>　　　※納品日時、納品方法等については、発注者と受注者で協議の上、決定すること。</w:t>
      </w:r>
    </w:p>
    <w:p>
      <w:pPr>
        <w:pStyle w:val="0"/>
        <w:spacing w:after="0" w:afterLines="0" w:afterAutospacing="0" w:line="240" w:lineRule="exact"/>
        <w:ind w:left="880" w:hanging="880" w:hangingChars="400"/>
        <w:rPr>
          <w:rFonts w:hint="default"/>
          <w:color w:val="auto"/>
        </w:rPr>
      </w:pPr>
      <w:r>
        <w:rPr>
          <w:rFonts w:hint="eastAsia"/>
          <w:color w:val="auto"/>
        </w:rPr>
        <w:t>　　　※納品に係る１日当たりのトラックの台数は、</w:t>
      </w:r>
      <w:r>
        <w:rPr>
          <w:rFonts w:hint="eastAsia"/>
          <w:color w:val="auto"/>
        </w:rPr>
        <w:t>10</w:t>
      </w:r>
      <w:r>
        <w:rPr>
          <w:rFonts w:hint="eastAsia"/>
          <w:color w:val="auto"/>
        </w:rPr>
        <w:t>月及び１月は最大５台、</w:t>
      </w:r>
      <w:r>
        <w:rPr>
          <w:rFonts w:hint="eastAsia"/>
          <w:color w:val="auto"/>
        </w:rPr>
        <w:t>11</w:t>
      </w:r>
      <w:r>
        <w:rPr>
          <w:rFonts w:hint="eastAsia"/>
          <w:color w:val="auto"/>
        </w:rPr>
        <w:t>月及び</w:t>
      </w:r>
      <w:r>
        <w:rPr>
          <w:rFonts w:hint="eastAsia"/>
          <w:color w:val="auto"/>
        </w:rPr>
        <w:t>12</w:t>
      </w:r>
      <w:r>
        <w:rPr>
          <w:rFonts w:hint="eastAsia"/>
          <w:color w:val="auto"/>
        </w:rPr>
        <w:t>月は最大３台とする。</w:t>
      </w:r>
    </w:p>
    <w:p>
      <w:pPr>
        <w:pStyle w:val="0"/>
        <w:spacing w:after="0" w:afterLines="0" w:afterAutospacing="0" w:line="240" w:lineRule="exact"/>
        <w:ind w:left="66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　　　※その他の納品ルールについては、別紙３を参照すること。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７　納品時の留意事項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（１）段ボールベッドはパレットに４セット積載し、パレタイズ（シュリンク巻き）された状態で納品すること。高さは、パレット込みで</w:t>
      </w:r>
      <w:r>
        <w:rPr>
          <w:rFonts w:hint="default"/>
          <w:color w:val="auto"/>
        </w:rPr>
        <w:t>1,3</w:t>
      </w:r>
      <w:r>
        <w:rPr>
          <w:rFonts w:hint="eastAsia"/>
          <w:color w:val="auto"/>
        </w:rPr>
        <w:t>15</w:t>
      </w:r>
      <w:r>
        <w:rPr>
          <w:rFonts w:hint="default"/>
          <w:color w:val="auto"/>
        </w:rPr>
        <w:t>ｍｍ以内とすること。</w:t>
      </w:r>
      <w:r>
        <w:rPr>
          <w:rFonts w:hint="eastAsia"/>
          <w:color w:val="auto"/>
        </w:rPr>
        <w:t>パレットに乗せる際の荷姿については、別紙２を参照すること。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（２）</w:t>
      </w:r>
      <w:r>
        <w:rPr>
          <w:rFonts w:hint="default"/>
          <w:color w:val="auto"/>
        </w:rPr>
        <w:t>パレットサイズは、幅</w:t>
      </w:r>
      <w:r>
        <w:rPr>
          <w:rFonts w:hint="default"/>
          <w:color w:val="auto"/>
        </w:rPr>
        <w:t>1,100</w:t>
      </w:r>
      <w:r>
        <w:rPr>
          <w:rFonts w:hint="default"/>
          <w:color w:val="auto"/>
        </w:rPr>
        <w:t>ｍｍ</w:t>
      </w:r>
      <w:r>
        <w:rPr>
          <w:rFonts w:hint="default"/>
          <w:color w:val="auto"/>
        </w:rPr>
        <w:t>×</w:t>
      </w:r>
      <w:r>
        <w:rPr>
          <w:rFonts w:hint="default"/>
          <w:color w:val="auto"/>
        </w:rPr>
        <w:t>奥行</w:t>
      </w:r>
      <w:r>
        <w:rPr>
          <w:rFonts w:hint="default"/>
          <w:color w:val="auto"/>
        </w:rPr>
        <w:t>1,100</w:t>
      </w:r>
      <w:r>
        <w:rPr>
          <w:rFonts w:hint="default"/>
          <w:color w:val="auto"/>
        </w:rPr>
        <w:t>ｍｍ</w:t>
      </w:r>
      <w:r>
        <w:rPr>
          <w:rFonts w:hint="default"/>
          <w:color w:val="auto"/>
        </w:rPr>
        <w:t>×</w:t>
      </w:r>
      <w:r>
        <w:rPr>
          <w:rFonts w:hint="default"/>
          <w:color w:val="auto"/>
        </w:rPr>
        <w:t>高さ</w:t>
      </w:r>
      <w:r>
        <w:rPr>
          <w:rFonts w:hint="eastAsia"/>
          <w:color w:val="auto"/>
        </w:rPr>
        <w:t>120~150</w:t>
      </w:r>
      <w:r>
        <w:rPr>
          <w:rFonts w:hint="default"/>
          <w:color w:val="auto"/>
        </w:rPr>
        <w:t>ｍｍとすること。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（３）分納となる場合は、発注者と協議のうえ、日程を調整すること。</w:t>
      </w:r>
    </w:p>
    <w:p>
      <w:pPr>
        <w:pStyle w:val="0"/>
        <w:spacing w:after="0" w:afterLines="0" w:afterAutospacing="0" w:line="240" w:lineRule="exact"/>
        <w:ind w:firstLine="22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（４）その他、納品に関する事項については、発注者の指示を仰ぐこと。</w:t>
      </w: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</w:p>
    <w:p>
      <w:pPr>
        <w:pStyle w:val="0"/>
        <w:spacing w:after="0" w:afterLines="0" w:afterAutospacing="0" w:line="240" w:lineRule="exact"/>
        <w:rPr>
          <w:rFonts w:hint="default"/>
          <w:color w:val="auto"/>
        </w:rPr>
      </w:pPr>
      <w:r>
        <w:rPr>
          <w:rFonts w:hint="eastAsia"/>
          <w:color w:val="auto"/>
        </w:rPr>
        <w:t>８　その他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bookmarkStart w:id="1" w:name="_Hlk200708184"/>
      <w:r>
        <w:rPr>
          <w:rFonts w:hint="eastAsia"/>
          <w:color w:val="auto"/>
        </w:rPr>
        <w:t>（１）受注者は、発注者と十分打合せを行い、業務を遂行するとともに、調整が必要となった場合はこれを申し出るものとすること。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（２）受注者の責めに帰すべき事由により、製品が毀損、汚損、破損又は滅失した場合は、速やかに発注者に報告するとともに、受注者の負担によりこれを補填するものとすること。</w:t>
      </w:r>
    </w:p>
    <w:p>
      <w:pPr>
        <w:pStyle w:val="0"/>
        <w:spacing w:after="0" w:afterLines="0" w:afterAutospacing="0" w:line="240" w:lineRule="exact"/>
        <w:ind w:left="880" w:leftChars="100" w:hanging="660" w:hangingChars="300"/>
        <w:rPr>
          <w:rFonts w:hint="default"/>
          <w:color w:val="auto"/>
        </w:rPr>
      </w:pPr>
      <w:r>
        <w:rPr>
          <w:rFonts w:hint="eastAsia"/>
          <w:color w:val="auto"/>
        </w:rPr>
        <w:t>（３）仕様書に定めのない事項については、必要に応じて発注者、受注者の協議の上決定すること。</w:t>
      </w:r>
      <w:bookmarkEnd w:id="1"/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2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 w:line="240" w:lineRule="auto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104861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104861" w:themeColor="accent1" w:themeShade="BF" w:sz="4" w:space="10"/>
        <w:bottom w:val="single" w:color="104861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104861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104861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104861" w:themeColor="accent1" w:themeShade="BF"/>
      <w:spacing w:val="5"/>
    </w:rPr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basedOn w:val="10"/>
    <w:next w:val="36"/>
    <w:link w:val="35"/>
    <w:uiPriority w:val="0"/>
  </w:style>
  <w:style w:type="paragraph" w:styleId="37">
    <w:name w:val="footer"/>
    <w:basedOn w:val="0"/>
    <w:next w:val="37"/>
    <w:link w:val="3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フッター (文字)"/>
    <w:basedOn w:val="10"/>
    <w:next w:val="38"/>
    <w:link w:val="37"/>
    <w:uiPriority w:val="0"/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2</Pages>
  <Words>24</Words>
  <Characters>934</Characters>
  <Application>JUST Note</Application>
  <Lines>55</Lines>
  <Paragraphs>34</Paragraphs>
  <CharactersWithSpaces>979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中川 源野</dc:creator>
  <cp:lastModifiedBy>池田 風子</cp:lastModifiedBy>
  <cp:lastPrinted>2025-07-25T00:24:00Z</cp:lastPrinted>
  <dcterms:created xsi:type="dcterms:W3CDTF">2025-08-18T06:02:00Z</dcterms:created>
  <dcterms:modified xsi:type="dcterms:W3CDTF">2025-08-18T07:22:46Z</dcterms:modified>
  <cp:revision>3</cp:revision>
</cp:coreProperties>
</file>