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0" w:lineRule="exact"/>
        <w:jc w:val="center"/>
        <w:rPr>
          <w:rFonts w:hint="default" w:ascii="ＭＳ ゴシック" w:hAnsi="ＭＳ ゴシック" w:eastAsia="ＭＳ ゴシック"/>
          <w:b w:val="1"/>
          <w:spacing w:val="4"/>
          <w:sz w:val="28"/>
        </w:rPr>
      </w:pPr>
      <w:r>
        <w:rPr>
          <w:rFonts w:hint="eastAsia" w:ascii="ＭＳ ゴシック" w:hAnsi="ＭＳ ゴシック" w:eastAsia="ＭＳ ゴシック"/>
          <w:b w:val="1"/>
          <w:spacing w:val="4"/>
          <w:sz w:val="28"/>
        </w:rPr>
        <w:t>医療機関へのお願い</w:t>
      </w:r>
    </w:p>
    <w:p>
      <w:pPr>
        <w:pStyle w:val="0"/>
        <w:snapToGrid w:val="0"/>
        <w:spacing w:line="240" w:lineRule="auto"/>
        <w:rPr>
          <w:rFonts w:hint="default"/>
          <w:sz w:val="22"/>
        </w:rPr>
      </w:pPr>
      <w:r>
        <w:rPr>
          <w:rFonts w:hint="eastAsia"/>
          <w:sz w:val="22"/>
        </w:rPr>
        <w:t>　　　　　　　　　　　　　　　　　　　　　　　　　　</w:t>
      </w:r>
    </w:p>
    <w:p>
      <w:pPr>
        <w:pStyle w:val="0"/>
        <w:snapToGrid w:val="0"/>
        <w:spacing w:line="240" w:lineRule="auto"/>
        <w:jc w:val="right"/>
        <w:rPr>
          <w:rFonts w:hint="default"/>
          <w:sz w:val="22"/>
        </w:rPr>
      </w:pPr>
      <w:r>
        <w:rPr>
          <w:rFonts w:hint="eastAsia"/>
          <w:sz w:val="22"/>
        </w:rPr>
        <w:t>地方公務員災害補償基金広島県支部</w:t>
      </w:r>
    </w:p>
    <w:p>
      <w:pPr>
        <w:pStyle w:val="0"/>
        <w:snapToGrid w:val="0"/>
        <w:spacing w:line="280" w:lineRule="exact"/>
        <w:rPr>
          <w:rFonts w:hint="default"/>
          <w:sz w:val="22"/>
        </w:rPr>
      </w:pPr>
    </w:p>
    <w:p>
      <w:pPr>
        <w:pStyle w:val="0"/>
        <w:snapToGrid w:val="0"/>
        <w:spacing w:line="280" w:lineRule="exact"/>
        <w:rPr>
          <w:rFonts w:hint="default"/>
          <w:spacing w:val="-10"/>
          <w:sz w:val="22"/>
        </w:rPr>
      </w:pPr>
      <w:r>
        <w:rPr>
          <w:rFonts w:hint="eastAsia"/>
          <w:sz w:val="22"/>
        </w:rPr>
        <w:t>　</w:t>
      </w:r>
      <w:r>
        <w:rPr>
          <w:rFonts w:hint="eastAsia"/>
          <w:spacing w:val="-10"/>
          <w:sz w:val="22"/>
        </w:rPr>
        <w:t>公務災害・通勤災害における療養補償の請求については、次の点に留意してください。</w:t>
      </w:r>
    </w:p>
    <w:p>
      <w:pPr>
        <w:pStyle w:val="0"/>
        <w:tabs>
          <w:tab w:val="clear" w:pos="10020"/>
        </w:tabs>
        <w:snapToGrid w:val="0"/>
        <w:spacing w:line="280" w:lineRule="exact"/>
        <w:rPr>
          <w:rFonts w:hint="default"/>
          <w:b w:val="0"/>
          <w:spacing w:val="-10"/>
          <w:sz w:val="22"/>
        </w:rPr>
      </w:pPr>
      <w:r>
        <w:rPr>
          <w:rFonts w:hint="eastAsia"/>
          <w:spacing w:val="-10"/>
          <w:sz w:val="22"/>
        </w:rPr>
        <w:t>　</w:t>
      </w:r>
      <w:r>
        <w:rPr>
          <w:rFonts w:hint="eastAsia"/>
          <w:b w:val="0"/>
          <w:spacing w:val="-10"/>
          <w:sz w:val="22"/>
          <w:u w:val="none" w:color="auto"/>
        </w:rPr>
        <w:t>なお、</w:t>
      </w:r>
      <w:r>
        <w:rPr>
          <w:rFonts w:hint="eastAsia"/>
          <w:b w:val="1"/>
          <w:color w:val="auto"/>
          <w:spacing w:val="-10"/>
          <w:sz w:val="22"/>
          <w:u w:val="wave" w:color="auto"/>
        </w:rPr>
        <w:t>基金の療養補償として行われる医療（特別室の提供や診断書等の作成に係る費用を含む。）については非課税措置されていますので、消費税を除いた額を請求してください。</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color w:val="auto"/>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１　療養費の請求方法について</w:t>
      </w:r>
      <w:r>
        <w:rPr>
          <w:rFonts w:hint="eastAsia" w:ascii="ＭＳ ゴシック" w:hAnsi="ＭＳ ゴシック" w:eastAsia="ＭＳ ゴシック"/>
          <w:b w:val="1"/>
          <w:color w:val="FF00FF"/>
          <w:spacing w:val="-10"/>
          <w:sz w:val="22"/>
          <w:bdr w:val="single" w:color="auto" w:sz="4" w:space="0"/>
          <w:shd w:val="pct15" w:color="auto" w:fill="auto"/>
        </w:rPr>
        <w:t>　</w:t>
      </w:r>
      <w:r>
        <w:rPr>
          <w:rFonts w:hint="eastAsia" w:ascii="ＭＳ ゴシック" w:hAnsi="ＭＳ ゴシック" w:eastAsia="ＭＳ ゴシック"/>
          <w:b w:val="1"/>
          <w:color w:val="auto"/>
          <w:spacing w:val="-10"/>
          <w:sz w:val="22"/>
        </w:rPr>
        <w:t>（別紙記載例を参照してください。）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1</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貴院が基金の指定医療機関の場合</w:t>
      </w:r>
      <w:r>
        <w:rPr>
          <w:rFonts w:hint="eastAsia" w:asciiTheme="minorEastAsia" w:hAnsiTheme="minorEastAsia" w:eastAsiaTheme="minorEastAsia"/>
          <w:b w:val="1"/>
          <w:spacing w:val="-10"/>
          <w:sz w:val="22"/>
        </w:rPr>
        <w:t>（</w:t>
      </w:r>
      <w:r>
        <w:rPr>
          <w:rFonts w:hint="eastAsia" w:ascii="ＭＳ ゴシック" w:hAnsi="ＭＳ ゴシック" w:eastAsia="ＭＳ ゴシック"/>
          <w:b w:val="1"/>
          <w:spacing w:val="-10"/>
          <w:sz w:val="22"/>
          <w:u w:val="single" w:color="auto"/>
        </w:rPr>
        <w:t>※労災保険指定医療機関とは異なります。</w:t>
      </w:r>
      <w:r>
        <w:rPr>
          <w:rFonts w:hint="eastAsia" w:asciiTheme="minorEastAsia" w:hAnsiTheme="minorEastAsia" w:eastAsiaTheme="minorEastAsia"/>
          <w:b w:val="1"/>
          <w:spacing w:val="-10"/>
          <w:sz w:val="22"/>
        </w:rPr>
        <w:t>）</w:t>
      </w:r>
    </w:p>
    <w:p>
      <w:pPr>
        <w:pStyle w:val="0"/>
        <w:snapToGrid w:val="0"/>
        <w:spacing w:line="280" w:lineRule="exact"/>
        <w:ind w:left="456" w:hanging="456" w:hangingChars="200"/>
        <w:rPr>
          <w:rFonts w:hint="default"/>
          <w:spacing w:val="-10"/>
          <w:sz w:val="22"/>
        </w:rPr>
      </w:pPr>
      <w:r>
        <w:rPr>
          <w:rFonts w:hint="eastAsia"/>
          <w:spacing w:val="-10"/>
          <w:sz w:val="22"/>
        </w:rPr>
        <w:t>　　　被災職員に「療養の給付請求書</w:t>
      </w:r>
      <w:r>
        <w:rPr>
          <w:rFonts w:hint="eastAsia"/>
          <w:color w:val="FF0000"/>
          <w:spacing w:val="-10"/>
          <w:sz w:val="22"/>
        </w:rPr>
        <w:t>（様式第５号）</w:t>
      </w:r>
      <w:r>
        <w:rPr>
          <w:rFonts w:hint="eastAsia"/>
          <w:spacing w:val="-10"/>
          <w:sz w:val="22"/>
        </w:rPr>
        <w:t>」の提出（初回のみ）を求め、当基金へ送付してください。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2</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貴院が基金の指定医療機関以外の場合</w:t>
      </w:r>
    </w:p>
    <w:p>
      <w:pPr>
        <w:pStyle w:val="0"/>
        <w:snapToGrid w:val="0"/>
        <w:spacing w:line="280" w:lineRule="exact"/>
        <w:ind w:left="456" w:hanging="456" w:hangingChars="200"/>
        <w:rPr>
          <w:rFonts w:hint="default"/>
          <w:spacing w:val="-10"/>
          <w:sz w:val="22"/>
        </w:rPr>
      </w:pPr>
      <w:r>
        <w:rPr>
          <w:rFonts w:hint="eastAsia"/>
          <w:spacing w:val="-10"/>
          <w:sz w:val="22"/>
        </w:rPr>
        <w:t>　　　被災職員に「療養補償請求書</w:t>
      </w:r>
      <w:r>
        <w:rPr>
          <w:rFonts w:hint="eastAsia"/>
          <w:color w:val="FF0000"/>
          <w:spacing w:val="-10"/>
          <w:sz w:val="22"/>
        </w:rPr>
        <w:t>（様式第６号）</w:t>
      </w:r>
      <w:r>
        <w:rPr>
          <w:rFonts w:hint="eastAsia"/>
          <w:spacing w:val="-10"/>
          <w:sz w:val="22"/>
        </w:rPr>
        <w:t>」の提出を求め、貴院で必要事項（１の受任者の欄及び３～</w:t>
      </w:r>
      <w:r>
        <w:rPr>
          <w:rFonts w:hint="eastAsia"/>
          <w:spacing w:val="-10"/>
          <w:sz w:val="22"/>
        </w:rPr>
        <w:t>10</w:t>
      </w:r>
      <w:r>
        <w:rPr>
          <w:rFonts w:hint="eastAsia"/>
          <w:spacing w:val="-10"/>
          <w:sz w:val="22"/>
        </w:rPr>
        <w:t>、ただし、</w:t>
      </w:r>
      <w:r>
        <w:rPr>
          <w:rFonts w:hint="eastAsia"/>
          <w:spacing w:val="-10"/>
          <w:sz w:val="22"/>
        </w:rPr>
        <w:t>10</w:t>
      </w:r>
      <w:r>
        <w:rPr>
          <w:rFonts w:hint="eastAsia"/>
          <w:spacing w:val="-10"/>
          <w:sz w:val="22"/>
        </w:rPr>
        <w:t>はレセプトの写しでも可）を記載し、被災職員に渡してください。（基金へは直接送付しないでください。）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3</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既に被災職員が保険証を使用したり、自分で全額を支払った場合</w:t>
      </w:r>
    </w:p>
    <w:p>
      <w:pPr>
        <w:pStyle w:val="0"/>
        <w:snapToGrid w:val="0"/>
        <w:spacing w:line="280" w:lineRule="exact"/>
        <w:ind w:left="684" w:hanging="684" w:hangingChars="300"/>
        <w:rPr>
          <w:rFonts w:hint="default"/>
          <w:spacing w:val="-10"/>
          <w:sz w:val="22"/>
        </w:rPr>
      </w:pPr>
      <w:r>
        <w:rPr>
          <w:rFonts w:hint="eastAsia"/>
          <w:spacing w:val="-10"/>
          <w:sz w:val="22"/>
        </w:rPr>
        <w:t>　　ア　本人支払分を返却（保険証使用の場合は、共済組合等からの給付分を含む。）し精算して貴院から上記</w:t>
      </w:r>
      <w:r>
        <w:rPr>
          <w:rFonts w:hint="eastAsia"/>
          <w:spacing w:val="-10"/>
          <w:sz w:val="22"/>
        </w:rPr>
        <w:t>(2)</w:t>
      </w:r>
      <w:r>
        <w:rPr>
          <w:rFonts w:hint="eastAsia"/>
          <w:spacing w:val="-10"/>
          <w:sz w:val="22"/>
        </w:rPr>
        <w:t>の方法により全額を当基金に請求いただく方法があります。</w:t>
      </w:r>
    </w:p>
    <w:p>
      <w:pPr>
        <w:pStyle w:val="0"/>
        <w:snapToGrid w:val="0"/>
        <w:spacing w:line="280" w:lineRule="exact"/>
        <w:ind w:left="634" w:leftChars="191" w:hanging="218" w:hangingChars="105"/>
        <w:rPr>
          <w:rFonts w:hint="default"/>
          <w:spacing w:val="-10"/>
          <w:sz w:val="22"/>
        </w:rPr>
      </w:pPr>
      <w:r>
        <w:rPr>
          <w:rFonts w:hint="eastAsia"/>
          <w:spacing w:val="-10"/>
          <w:sz w:val="22"/>
        </w:rPr>
        <w:t>イ　本人支払分を本人から当基金へ請求する場合には、被災職員が持参する「療養補償請求書</w:t>
      </w:r>
      <w:r>
        <w:rPr>
          <w:rFonts w:hint="eastAsia"/>
          <w:color w:val="FF0000"/>
          <w:spacing w:val="-10"/>
          <w:sz w:val="22"/>
        </w:rPr>
        <w:t>（様式第６号）</w:t>
      </w:r>
      <w:r>
        <w:rPr>
          <w:rFonts w:hint="eastAsia"/>
          <w:spacing w:val="-10"/>
          <w:sz w:val="22"/>
        </w:rPr>
        <w:t>」の裏面の「</w:t>
      </w:r>
      <w:r>
        <w:rPr>
          <w:rFonts w:hint="eastAsia"/>
          <w:spacing w:val="-10"/>
          <w:sz w:val="22"/>
        </w:rPr>
        <w:t>10</w:t>
      </w:r>
      <w:r>
        <w:rPr>
          <w:rFonts w:hint="eastAsia"/>
          <w:spacing w:val="-10"/>
          <w:sz w:val="22"/>
        </w:rPr>
        <w:t>　診療費請求明細」に記入又は請求済のレセプトの写しを添付し、裏面の最下段に貴院の証明を付して、領収書とともに被災職員に渡してください。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4</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医薬品の自己負担について～長期収載品の選定療養～</w:t>
      </w:r>
    </w:p>
    <w:p>
      <w:pPr>
        <w:pStyle w:val="0"/>
        <w:snapToGrid w:val="0"/>
        <w:spacing w:line="280" w:lineRule="exact"/>
        <w:ind w:left="436" w:leftChars="0" w:firstLine="208" w:firstLineChars="100"/>
        <w:rPr>
          <w:rFonts w:hint="default"/>
          <w:spacing w:val="-10"/>
          <w:sz w:val="22"/>
        </w:rPr>
      </w:pPr>
      <w:r>
        <w:rPr>
          <w:rFonts w:hint="eastAsia"/>
          <w:spacing w:val="-10"/>
          <w:sz w:val="22"/>
        </w:rPr>
        <w:t>公務・通勤災害に係る診療に際して、長期収載品を処方等又は調剤する場合には、</w:t>
      </w:r>
      <w:r>
        <w:rPr>
          <w:rFonts w:hint="eastAsia"/>
          <w:spacing w:val="-10"/>
          <w:sz w:val="22"/>
          <w:u w:val="wavyDouble" w:color="auto"/>
        </w:rPr>
        <w:t>医療上の必要性があると認められる場合を除き、被災職員から「特別の料金」に相当する額を徴収していただく</w:t>
      </w:r>
      <w:r>
        <w:rPr>
          <w:rFonts w:hint="eastAsia"/>
          <w:spacing w:val="-10"/>
          <w:sz w:val="22"/>
        </w:rPr>
        <w:t>ことになります。概要は別紙リーフレットを参照してください。</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color w:val="FF0000"/>
          <w:spacing w:val="-10"/>
          <w:sz w:val="22"/>
          <w:bdr w:val="single" w:color="auto" w:sz="4" w:space="0"/>
        </w:rPr>
      </w:pPr>
      <w:r>
        <w:rPr>
          <w:rFonts w:hint="eastAsia" w:ascii="ＭＳ ゴシック" w:hAnsi="ＭＳ ゴシック" w:eastAsia="ＭＳ ゴシック"/>
          <w:b w:val="1"/>
          <w:color w:val="FF0000"/>
          <w:spacing w:val="-10"/>
          <w:sz w:val="22"/>
          <w:bdr w:val="single" w:color="auto" w:sz="4" w:space="0"/>
          <w:shd w:val="pct15" w:color="auto" w:fill="auto"/>
        </w:rPr>
        <w:t>２　｢療養の給付請求書｣又は｢療養補償請求書｣の記載方法等について　</w:t>
      </w:r>
    </w:p>
    <w:p>
      <w:pPr>
        <w:pStyle w:val="0"/>
        <w:snapToGrid w:val="0"/>
        <w:spacing w:line="280" w:lineRule="exact"/>
        <w:ind w:left="456" w:hanging="456" w:hangingChars="200"/>
        <w:rPr>
          <w:rFonts w:hint="default"/>
          <w:spacing w:val="-10"/>
          <w:sz w:val="22"/>
        </w:rPr>
      </w:pPr>
      <w:r>
        <w:rPr>
          <w:rFonts w:hint="eastAsia"/>
          <w:spacing w:val="-10"/>
          <w:sz w:val="22"/>
        </w:rPr>
        <w:t>（</w:t>
      </w:r>
      <w:r>
        <w:rPr>
          <w:rFonts w:hint="eastAsia"/>
          <w:spacing w:val="-10"/>
          <w:sz w:val="22"/>
        </w:rPr>
        <w:t>1</w:t>
      </w:r>
      <w:r>
        <w:rPr>
          <w:rFonts w:hint="eastAsia"/>
          <w:spacing w:val="-10"/>
          <w:sz w:val="22"/>
        </w:rPr>
        <w:t>）</w:t>
      </w:r>
      <w:r>
        <w:rPr>
          <w:rFonts w:hint="eastAsia"/>
          <w:spacing w:val="-10"/>
          <w:sz w:val="22"/>
        </w:rPr>
        <w:t xml:space="preserve"> </w:t>
      </w:r>
      <w:r>
        <w:rPr>
          <w:rFonts w:hint="eastAsia"/>
          <w:spacing w:val="-10"/>
          <w:sz w:val="22"/>
        </w:rPr>
        <w:t>診療費の算定は、社会保険診療報酬点数計算、労災保険、労災保険柔道整復師施術料金算定基準に準じてお願いします。</w:t>
      </w:r>
    </w:p>
    <w:tbl>
      <w:tblPr>
        <w:tblStyle w:val="22"/>
        <w:tblW w:w="0" w:type="auto"/>
        <w:tblInd w:w="922" w:type="dxa"/>
        <w:tblLayout w:type="fixed"/>
        <w:tblLook w:firstRow="1" w:lastRow="0" w:firstColumn="1" w:lastColumn="0" w:noHBand="0" w:noVBand="1" w:val="04A0"/>
      </w:tblPr>
      <w:tblGrid>
        <w:gridCol w:w="2002"/>
        <w:gridCol w:w="2268"/>
        <w:gridCol w:w="1950"/>
        <w:gridCol w:w="2040"/>
      </w:tblGrid>
      <w:tr>
        <w:trPr>
          <w:trHeight w:val="240" w:hRule="atLeast"/>
        </w:trPr>
        <w:tc>
          <w:tcPr>
            <w:tcW w:w="42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spacing w:val="0"/>
                <w:sz w:val="20"/>
              </w:rPr>
            </w:pPr>
            <w:r>
              <w:rPr>
                <w:rFonts w:hint="eastAsia"/>
                <w:spacing w:val="0"/>
                <w:sz w:val="20"/>
              </w:rPr>
              <w:t>診療単価</w:t>
            </w:r>
          </w:p>
        </w:tc>
        <w:tc>
          <w:tcPr>
            <w:tcW w:w="1950" w:type="dxa"/>
            <w:vMerge w:val="restart"/>
            <w:vAlign w:val="center"/>
          </w:tcPr>
          <w:p>
            <w:pPr>
              <w:pStyle w:val="0"/>
              <w:spacing w:line="260" w:lineRule="exact"/>
              <w:jc w:val="center"/>
              <w:rPr>
                <w:rFonts w:hint="eastAsia"/>
                <w:spacing w:val="0"/>
                <w:sz w:val="20"/>
              </w:rPr>
            </w:pPr>
            <w:r>
              <w:rPr>
                <w:rFonts w:hint="eastAsia"/>
                <w:spacing w:val="0"/>
                <w:sz w:val="20"/>
              </w:rPr>
              <w:t>初診料</w:t>
            </w:r>
          </w:p>
        </w:tc>
        <w:tc>
          <w:tcPr>
            <w:tcW w:w="2040" w:type="dxa"/>
            <w:vMerge w:val="restart"/>
            <w:vAlign w:val="center"/>
          </w:tcPr>
          <w:p>
            <w:pPr>
              <w:pStyle w:val="0"/>
              <w:spacing w:line="260" w:lineRule="exact"/>
              <w:jc w:val="center"/>
              <w:rPr>
                <w:rFonts w:hint="eastAsia"/>
                <w:spacing w:val="0"/>
                <w:sz w:val="20"/>
              </w:rPr>
            </w:pPr>
            <w:r>
              <w:rPr>
                <w:rFonts w:hint="eastAsia"/>
                <w:spacing w:val="0"/>
                <w:sz w:val="20"/>
              </w:rPr>
              <w:t>再診料</w:t>
            </w:r>
          </w:p>
        </w:tc>
      </w:tr>
      <w:tr>
        <w:trPr>
          <w:trHeight w:val="35" w:hRule="atLeast"/>
        </w:trPr>
        <w:tc>
          <w:tcPr>
            <w:tcW w:w="2002" w:type="dxa"/>
            <w:vAlign w:val="center"/>
          </w:tcPr>
          <w:p>
            <w:pPr>
              <w:pStyle w:val="0"/>
              <w:spacing w:line="260" w:lineRule="exact"/>
              <w:jc w:val="center"/>
              <w:rPr>
                <w:rFonts w:hint="eastAsia"/>
                <w:spacing w:val="0"/>
                <w:sz w:val="20"/>
              </w:rPr>
            </w:pPr>
            <w:r>
              <w:rPr>
                <w:rFonts w:hint="eastAsia"/>
                <w:spacing w:val="0"/>
                <w:sz w:val="20"/>
              </w:rPr>
              <w:t>課税医療機関</w:t>
            </w:r>
          </w:p>
        </w:tc>
        <w:tc>
          <w:tcPr>
            <w:tcW w:w="2268" w:type="dxa"/>
            <w:vAlign w:val="center"/>
          </w:tcPr>
          <w:p>
            <w:pPr>
              <w:pStyle w:val="0"/>
              <w:spacing w:line="260" w:lineRule="exact"/>
              <w:jc w:val="center"/>
              <w:rPr>
                <w:rFonts w:hint="eastAsia"/>
                <w:spacing w:val="0"/>
                <w:sz w:val="20"/>
              </w:rPr>
            </w:pPr>
            <w:r>
              <w:rPr>
                <w:rFonts w:hint="eastAsia"/>
                <w:spacing w:val="0"/>
                <w:sz w:val="20"/>
              </w:rPr>
              <w:t>非課税医療機関</w:t>
            </w:r>
          </w:p>
          <w:p>
            <w:pPr>
              <w:pStyle w:val="0"/>
              <w:spacing w:line="260" w:lineRule="exact"/>
              <w:jc w:val="center"/>
              <w:rPr>
                <w:rFonts w:hint="eastAsia"/>
                <w:spacing w:val="0"/>
                <w:sz w:val="20"/>
              </w:rPr>
            </w:pPr>
            <w:r>
              <w:rPr>
                <w:rFonts w:hint="eastAsia"/>
                <w:spacing w:val="0"/>
                <w:sz w:val="20"/>
              </w:rPr>
              <w:t>（国公立の機関等）</w:t>
            </w:r>
          </w:p>
        </w:tc>
        <w:tc>
          <w:tcPr>
            <w:tcW w:w="1950" w:type="dxa"/>
            <w:vMerge w:val="continue"/>
            <w:vAlign w:val="center"/>
          </w:tcPr>
          <w:p>
            <w:pPr>
              <w:pStyle w:val="0"/>
              <w:rPr>
                <w:rFonts w:hint="eastAsia"/>
                <w:sz w:val="18"/>
              </w:rPr>
            </w:pPr>
          </w:p>
        </w:tc>
        <w:tc>
          <w:tcPr>
            <w:tcW w:w="2040" w:type="dxa"/>
            <w:vMerge w:val="continue"/>
            <w:vAlign w:val="center"/>
          </w:tcPr>
          <w:p>
            <w:pPr>
              <w:pStyle w:val="0"/>
              <w:rPr>
                <w:rFonts w:hint="eastAsia"/>
                <w:sz w:val="18"/>
              </w:rPr>
            </w:pPr>
          </w:p>
        </w:tc>
      </w:tr>
      <w:tr>
        <w:trPr/>
        <w:tc>
          <w:tcPr>
            <w:tcW w:w="2002" w:type="dxa"/>
            <w:vAlign w:val="center"/>
          </w:tcPr>
          <w:p>
            <w:pPr>
              <w:pStyle w:val="0"/>
              <w:spacing w:line="260" w:lineRule="exact"/>
              <w:jc w:val="center"/>
              <w:rPr>
                <w:rFonts w:hint="eastAsia"/>
                <w:spacing w:val="0"/>
                <w:sz w:val="20"/>
              </w:rPr>
            </w:pPr>
            <w:r>
              <w:rPr>
                <w:rFonts w:hint="eastAsia"/>
                <w:spacing w:val="0"/>
                <w:sz w:val="20"/>
              </w:rPr>
              <w:t>12</w:t>
            </w:r>
            <w:r>
              <w:rPr>
                <w:rFonts w:hint="eastAsia"/>
                <w:spacing w:val="0"/>
                <w:sz w:val="20"/>
              </w:rPr>
              <w:t>円</w:t>
            </w:r>
          </w:p>
        </w:tc>
        <w:tc>
          <w:tcPr>
            <w:tcW w:w="2268" w:type="dxa"/>
            <w:vAlign w:val="center"/>
          </w:tcPr>
          <w:p>
            <w:pPr>
              <w:pStyle w:val="0"/>
              <w:spacing w:line="260" w:lineRule="exact"/>
              <w:jc w:val="center"/>
              <w:rPr>
                <w:rFonts w:hint="eastAsia"/>
                <w:spacing w:val="0"/>
                <w:sz w:val="20"/>
              </w:rPr>
            </w:pPr>
            <w:r>
              <w:rPr>
                <w:rFonts w:hint="eastAsia"/>
                <w:spacing w:val="0"/>
                <w:sz w:val="20"/>
              </w:rPr>
              <w:t>11.5</w:t>
            </w:r>
            <w:r>
              <w:rPr>
                <w:rFonts w:hint="eastAsia"/>
                <w:spacing w:val="0"/>
                <w:sz w:val="20"/>
              </w:rPr>
              <w:t>円</w:t>
            </w:r>
          </w:p>
        </w:tc>
        <w:tc>
          <w:tcPr>
            <w:tcW w:w="1950" w:type="dxa"/>
            <w:vAlign w:val="center"/>
          </w:tcPr>
          <w:p>
            <w:pPr>
              <w:pStyle w:val="0"/>
              <w:spacing w:line="260" w:lineRule="exact"/>
              <w:jc w:val="center"/>
              <w:rPr>
                <w:rFonts w:hint="eastAsia"/>
                <w:spacing w:val="0"/>
                <w:sz w:val="20"/>
              </w:rPr>
            </w:pPr>
            <w:r>
              <w:rPr>
                <w:rFonts w:hint="eastAsia"/>
                <w:spacing w:val="0"/>
                <w:sz w:val="20"/>
              </w:rPr>
              <w:t>3,850</w:t>
            </w:r>
            <w:r>
              <w:rPr>
                <w:rFonts w:hint="eastAsia"/>
                <w:spacing w:val="0"/>
                <w:sz w:val="20"/>
              </w:rPr>
              <w:t>円</w:t>
            </w:r>
          </w:p>
        </w:tc>
        <w:tc>
          <w:tcPr>
            <w:tcW w:w="2040" w:type="dxa"/>
            <w:vAlign w:val="center"/>
          </w:tcPr>
          <w:p>
            <w:pPr>
              <w:pStyle w:val="0"/>
              <w:spacing w:line="260" w:lineRule="exact"/>
              <w:jc w:val="center"/>
              <w:rPr>
                <w:rFonts w:hint="eastAsia"/>
                <w:spacing w:val="0"/>
                <w:sz w:val="20"/>
              </w:rPr>
            </w:pPr>
            <w:r>
              <w:rPr>
                <w:rFonts w:hint="eastAsia"/>
                <w:spacing w:val="0"/>
                <w:sz w:val="20"/>
              </w:rPr>
              <w:t>1,430</w:t>
            </w:r>
            <w:r>
              <w:rPr>
                <w:rFonts w:hint="eastAsia"/>
                <w:spacing w:val="0"/>
                <w:sz w:val="20"/>
              </w:rPr>
              <w:t>円</w:t>
            </w:r>
          </w:p>
        </w:tc>
      </w:tr>
    </w:tbl>
    <w:p>
      <w:pPr>
        <w:pStyle w:val="0"/>
        <w:snapToGrid w:val="0"/>
        <w:spacing w:line="280" w:lineRule="exact"/>
        <w:ind w:left="456" w:hanging="456" w:hangingChars="200"/>
        <w:rPr>
          <w:rFonts w:hint="default"/>
          <w:spacing w:val="-10"/>
          <w:sz w:val="22"/>
        </w:rPr>
      </w:pPr>
      <w:r>
        <w:rPr>
          <w:rFonts w:hint="eastAsia"/>
          <w:spacing w:val="-10"/>
          <w:sz w:val="22"/>
        </w:rPr>
        <w:t>　　　※ただし、基金の指定医療機関は契約単価によります。</w:t>
      </w:r>
    </w:p>
    <w:p>
      <w:pPr>
        <w:pStyle w:val="0"/>
        <w:snapToGrid w:val="0"/>
        <w:spacing w:line="280" w:lineRule="exact"/>
        <w:ind w:left="436" w:leftChars="200" w:firstLine="228" w:firstLineChars="100"/>
        <w:rPr>
          <w:rFonts w:hint="default"/>
          <w:spacing w:val="-10"/>
          <w:sz w:val="22"/>
        </w:rPr>
      </w:pPr>
      <w:r>
        <w:rPr>
          <w:rFonts w:hint="eastAsia" w:asciiTheme="majorEastAsia" w:hAnsiTheme="majorEastAsia" w:eastAsiaTheme="majorEastAsia"/>
          <w:b w:val="1"/>
          <w:spacing w:val="-10"/>
          <w:sz w:val="22"/>
          <w:u w:val="single" w:color="auto"/>
        </w:rPr>
        <w:t>※労災において算定できる「療養の給付請求書取扱手数料」（</w:t>
      </w:r>
      <w:r>
        <w:rPr>
          <w:rFonts w:hint="eastAsia" w:asciiTheme="majorEastAsia" w:hAnsiTheme="majorEastAsia" w:eastAsiaTheme="majorEastAsia"/>
          <w:b w:val="1"/>
          <w:spacing w:val="-10"/>
          <w:sz w:val="22"/>
          <w:u w:val="single" w:color="auto"/>
        </w:rPr>
        <w:t>2,000</w:t>
      </w:r>
      <w:r>
        <w:rPr>
          <w:rFonts w:hint="eastAsia" w:asciiTheme="majorEastAsia" w:hAnsiTheme="majorEastAsia" w:eastAsiaTheme="majorEastAsia"/>
          <w:b w:val="1"/>
          <w:spacing w:val="-10"/>
          <w:sz w:val="22"/>
          <w:u w:val="single" w:color="auto"/>
        </w:rPr>
        <w:t>円）は算定できません。</w:t>
      </w:r>
    </w:p>
    <w:p>
      <w:pPr>
        <w:pStyle w:val="0"/>
        <w:snapToGrid w:val="0"/>
        <w:spacing w:line="280" w:lineRule="exact"/>
        <w:rPr>
          <w:rFonts w:hint="default"/>
          <w:spacing w:val="-10"/>
          <w:sz w:val="22"/>
        </w:rPr>
      </w:pPr>
      <w:r>
        <w:rPr>
          <w:rFonts w:hint="eastAsia"/>
          <w:spacing w:val="-10"/>
          <w:sz w:val="22"/>
        </w:rPr>
        <w:t>（</w:t>
      </w:r>
      <w:r>
        <w:rPr>
          <w:rFonts w:hint="eastAsia"/>
          <w:spacing w:val="-10"/>
          <w:sz w:val="22"/>
        </w:rPr>
        <w:t>2</w:t>
      </w:r>
      <w:r>
        <w:rPr>
          <w:rFonts w:hint="eastAsia"/>
          <w:spacing w:val="-10"/>
          <w:sz w:val="22"/>
        </w:rPr>
        <w:t>）</w:t>
      </w:r>
      <w:r>
        <w:rPr>
          <w:rFonts w:hint="eastAsia"/>
          <w:spacing w:val="-10"/>
          <w:sz w:val="22"/>
        </w:rPr>
        <w:t xml:space="preserve"> </w:t>
      </w:r>
      <w:r>
        <w:rPr>
          <w:rFonts w:hint="eastAsia"/>
          <w:spacing w:val="-10"/>
          <w:sz w:val="22"/>
        </w:rPr>
        <w:t>診断書等の費用は、労災保険に準じて請求してください。（</w:t>
      </w:r>
      <w:r>
        <w:rPr>
          <w:rFonts w:hint="eastAsia"/>
          <w:spacing w:val="-10"/>
          <w:sz w:val="22"/>
        </w:rPr>
        <w:t>6,000</w:t>
      </w:r>
      <w:r>
        <w:rPr>
          <w:rFonts w:hint="eastAsia"/>
          <w:spacing w:val="-10"/>
          <w:sz w:val="22"/>
        </w:rPr>
        <w:t>円以内）</w:t>
      </w:r>
    </w:p>
    <w:p>
      <w:pPr>
        <w:pStyle w:val="0"/>
        <w:snapToGrid w:val="0"/>
        <w:spacing w:line="280" w:lineRule="exact"/>
        <w:ind w:left="436" w:leftChars="0" w:firstLine="228" w:firstLineChars="100"/>
        <w:rPr>
          <w:rFonts w:hint="default"/>
          <w:spacing w:val="-10"/>
          <w:sz w:val="22"/>
        </w:rPr>
      </w:pPr>
      <w:r>
        <w:rPr>
          <w:rFonts w:hint="eastAsia"/>
          <w:spacing w:val="-10"/>
          <w:sz w:val="22"/>
        </w:rPr>
        <w:t>診断書料のうち基金に請求できるものは、原則として基金に提出されたもの（通常は公務・通勤災害認定請求書用の診断書１通分）のみとなっています。</w:t>
      </w:r>
    </w:p>
    <w:p>
      <w:pPr>
        <w:pStyle w:val="0"/>
        <w:snapToGrid w:val="0"/>
        <w:spacing w:line="280" w:lineRule="exact"/>
        <w:ind w:left="436" w:leftChars="0" w:firstLine="228" w:firstLineChars="100"/>
        <w:rPr>
          <w:rFonts w:hint="default"/>
          <w:spacing w:val="-10"/>
          <w:sz w:val="22"/>
        </w:rPr>
      </w:pPr>
      <w:r>
        <w:rPr>
          <w:rFonts w:hint="eastAsia"/>
          <w:spacing w:val="-10"/>
          <w:sz w:val="22"/>
        </w:rPr>
        <w:t>基金に提出する用途以外に、職員が服務上の理由で職場へ提出する診断書（休業を続けるための診断書、療養経過の報告に要する診断書、職場復帰のための診断書等）は、基金に請求</w:t>
      </w:r>
      <w:bookmarkStart w:id="0" w:name="_GoBack"/>
      <w:bookmarkEnd w:id="0"/>
      <w:r>
        <w:rPr>
          <w:rFonts w:hint="eastAsia"/>
          <w:spacing w:val="-10"/>
          <w:sz w:val="22"/>
        </w:rPr>
        <w:t>できませんので、職員に請求してください。</w:t>
      </w:r>
    </w:p>
    <w:p>
      <w:pPr>
        <w:pStyle w:val="0"/>
        <w:snapToGrid w:val="0"/>
        <w:spacing w:line="280" w:lineRule="exact"/>
        <w:ind w:left="456" w:hanging="456" w:hangingChars="200"/>
        <w:rPr>
          <w:rFonts w:hint="default"/>
          <w:spacing w:val="-10"/>
          <w:sz w:val="22"/>
        </w:rPr>
      </w:pPr>
      <w:r>
        <w:rPr>
          <w:rFonts w:hint="eastAsia"/>
          <w:spacing w:val="-10"/>
          <w:sz w:val="22"/>
        </w:rPr>
        <w:t>（</w:t>
      </w:r>
      <w:r>
        <w:rPr>
          <w:rFonts w:hint="eastAsia"/>
          <w:spacing w:val="-10"/>
          <w:sz w:val="22"/>
        </w:rPr>
        <w:t>3</w:t>
      </w:r>
      <w:r>
        <w:rPr>
          <w:rFonts w:hint="eastAsia"/>
          <w:spacing w:val="-10"/>
          <w:sz w:val="22"/>
        </w:rPr>
        <w:t>）</w:t>
      </w:r>
      <w:r>
        <w:rPr>
          <w:rFonts w:hint="eastAsia"/>
          <w:spacing w:val="-10"/>
          <w:sz w:val="22"/>
        </w:rPr>
        <w:t xml:space="preserve"> </w:t>
      </w:r>
      <w:r>
        <w:rPr>
          <w:rFonts w:hint="eastAsia"/>
          <w:spacing w:val="-10"/>
          <w:sz w:val="22"/>
        </w:rPr>
        <w:t>認定通知書に記載の傷病名以外の傷病の治療費は、原則として補償（支払）の対象になりません。また、私傷病の治療費は、公務災害とは区分し、被災職員へ支払をしてもらうようお願いします。</w:t>
      </w:r>
      <w:r>
        <w:rPr>
          <w:rFonts w:hint="eastAsia"/>
          <w:b w:val="1"/>
          <w:spacing w:val="-10"/>
          <w:sz w:val="22"/>
          <w:u w:val="single" w:color="auto"/>
        </w:rPr>
        <w:t>なお、認定傷病名に漏れがある場合には、原則として追加の手続が必要となります。</w:t>
      </w:r>
    </w:p>
    <w:p>
      <w:pPr>
        <w:pStyle w:val="0"/>
        <w:snapToGrid w:val="0"/>
        <w:spacing w:line="280" w:lineRule="exact"/>
        <w:ind w:left="301" w:leftChars="-7" w:hanging="316" w:hangingChars="152"/>
        <w:rPr>
          <w:rFonts w:hint="default"/>
          <w:spacing w:val="-10"/>
          <w:sz w:val="22"/>
        </w:rPr>
      </w:pPr>
      <w:r>
        <w:rPr>
          <w:rFonts w:hint="eastAsia"/>
          <w:spacing w:val="-10"/>
          <w:sz w:val="22"/>
        </w:rPr>
        <w:t>（</w:t>
      </w:r>
      <w:r>
        <w:rPr>
          <w:rFonts w:hint="eastAsia"/>
          <w:spacing w:val="-10"/>
          <w:sz w:val="22"/>
        </w:rPr>
        <w:t>4</w:t>
      </w:r>
      <w:r>
        <w:rPr>
          <w:rFonts w:hint="eastAsia"/>
          <w:spacing w:val="-10"/>
          <w:sz w:val="22"/>
        </w:rPr>
        <w:t>）</w:t>
      </w:r>
      <w:r>
        <w:rPr>
          <w:rFonts w:hint="eastAsia"/>
          <w:spacing w:val="-10"/>
          <w:sz w:val="22"/>
        </w:rPr>
        <w:t xml:space="preserve"> </w:t>
      </w:r>
      <w:r>
        <w:rPr>
          <w:rFonts w:hint="eastAsia"/>
          <w:spacing w:val="-10"/>
          <w:sz w:val="22"/>
        </w:rPr>
        <w:t>特別室（個室及び上級室）を使用した場合の室料差額請求については、必ず、基金指定様式の「特別室必要証明書」を添付してください。使用理由は、傷病の状態、療養経過に照らして具体的に記入してください。</w:t>
      </w:r>
      <w:r>
        <w:rPr>
          <w:rFonts w:hint="eastAsia"/>
          <w:b w:val="1"/>
          <w:spacing w:val="-10"/>
          <w:sz w:val="22"/>
          <w:u w:val="single" w:color="auto"/>
        </w:rPr>
        <w:t>なお、特別室の利用には、普通室が満床で、かつ、緊急に入院療養させる必要がある場合など特別な事情が必要になります。</w:t>
      </w:r>
    </w:p>
    <w:p>
      <w:pPr>
        <w:pStyle w:val="0"/>
        <w:snapToGrid w:val="0"/>
        <w:spacing w:line="280" w:lineRule="exact"/>
        <w:ind w:left="456" w:hanging="456" w:hangingChars="200"/>
        <w:rPr>
          <w:rFonts w:hint="default"/>
          <w:spacing w:val="-10"/>
          <w:sz w:val="22"/>
        </w:rPr>
      </w:pPr>
      <w:r>
        <w:rPr>
          <w:rFonts w:hint="eastAsia"/>
          <w:spacing w:val="-10"/>
          <w:sz w:val="22"/>
        </w:rPr>
        <w:t>（</w:t>
      </w:r>
      <w:r>
        <w:rPr>
          <w:rFonts w:hint="eastAsia"/>
          <w:spacing w:val="-10"/>
          <w:sz w:val="22"/>
        </w:rPr>
        <w:t>5</w:t>
      </w:r>
      <w:r>
        <w:rPr>
          <w:rFonts w:hint="eastAsia"/>
          <w:spacing w:val="-10"/>
          <w:sz w:val="22"/>
        </w:rPr>
        <w:t>）「療養補償請求書（様式第６号）」（指定医療機関以外の請求書）について</w:t>
      </w:r>
    </w:p>
    <w:p>
      <w:pPr>
        <w:pStyle w:val="0"/>
        <w:snapToGrid w:val="0"/>
        <w:spacing w:line="280" w:lineRule="exact"/>
        <w:ind w:left="740" w:leftChars="0" w:hanging="284" w:firstLineChars="0"/>
        <w:rPr>
          <w:rFonts w:hint="default"/>
          <w:spacing w:val="-10"/>
          <w:sz w:val="22"/>
        </w:rPr>
      </w:pPr>
      <w:r>
        <w:rPr>
          <w:rFonts w:hint="eastAsia"/>
          <w:spacing w:val="-10"/>
          <w:sz w:val="22"/>
        </w:rPr>
        <w:t>・　医療機関用と薬局用がありますので、間違えないようにお願いします。</w:t>
      </w:r>
    </w:p>
    <w:p>
      <w:pPr>
        <w:pStyle w:val="0"/>
        <w:snapToGrid w:val="0"/>
        <w:spacing w:line="280" w:lineRule="exact"/>
        <w:ind w:left="740" w:leftChars="0" w:hanging="284" w:firstLineChars="0"/>
        <w:rPr>
          <w:rFonts w:hint="default"/>
          <w:spacing w:val="-10"/>
          <w:sz w:val="22"/>
        </w:rPr>
      </w:pPr>
      <w:r>
        <w:rPr>
          <w:rFonts w:hint="eastAsia"/>
          <w:spacing w:val="-10"/>
          <w:sz w:val="22"/>
        </w:rPr>
        <w:t>・　原則として、１月に１枚作成してください。</w:t>
      </w:r>
    </w:p>
    <w:p>
      <w:pPr>
        <w:pStyle w:val="0"/>
        <w:snapToGrid w:val="0"/>
        <w:spacing w:line="280" w:lineRule="exact"/>
        <w:ind w:left="740" w:leftChars="0" w:hanging="284" w:firstLineChars="0"/>
        <w:rPr>
          <w:rFonts w:hint="default"/>
          <w:spacing w:val="-10"/>
          <w:sz w:val="22"/>
        </w:rPr>
      </w:pPr>
      <w:r>
        <w:rPr>
          <w:rFonts w:hint="eastAsia"/>
          <w:spacing w:val="-10"/>
          <w:sz w:val="22"/>
        </w:rPr>
        <w:t>・　請求印については、既製のゴム印（シャチハタ印等）以外の印鑑を使用してください。</w:t>
      </w:r>
    </w:p>
    <w:p>
      <w:pPr>
        <w:pStyle w:val="0"/>
        <w:snapToGrid w:val="0"/>
        <w:spacing w:line="280" w:lineRule="exact"/>
        <w:ind w:left="740" w:leftChars="0" w:hanging="284" w:firstLineChars="0"/>
        <w:rPr>
          <w:rFonts w:hint="default"/>
          <w:spacing w:val="-10"/>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5433060</wp:posOffset>
                </wp:positionH>
                <wp:positionV relativeFrom="paragraph">
                  <wp:posOffset>208915</wp:posOffset>
                </wp:positionV>
                <wp:extent cx="914400" cy="254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14400" cy="25400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16"/>
                              </w:rPr>
                            </w:pPr>
                            <w:r>
                              <w:rPr>
                                <w:rFonts w:hint="eastAsia"/>
                                <w:sz w:val="16"/>
                              </w:rPr>
                              <w:t>裏面へ続く</w:t>
                            </w:r>
                          </w:p>
                        </w:txbxContent>
                      </wps:txbx>
                      <wps:bodyPr vertOverflow="overflow" horzOverflow="overflow" wrap="square" lIns="72000" tIns="0" rIns="72000" bIns="0" anchor="ctr"/>
                    </wps:wsp>
                  </a:graphicData>
                </a:graphic>
              </wp:anchor>
            </w:drawing>
          </mc:Choice>
          <mc:Fallback>
            <w:pict>
              <v:rect id="オブジェクト 0" style="mso-position-vertical-relative:text;z-index:2;mso-wrap-distance-left:16pt;width:72pt;height:20pt;mso-position-horizontal-relative:text;position:absolute;margin-left:427.8pt;margin-top:16.45pt;mso-wrap-distance-bottom:0pt;mso-wrap-distance-right:16pt;mso-wrap-distance-top:0pt;v-text-anchor:middle;" o:spid="_x0000_s1026" o:allowincell="t" o:allowoverlap="t" filled="t" fillcolor="#ffffff [3201]" stroked="t" strokecolor="#000000 [3200]" strokeweight="2pt" o:spt="1">
                <v:fill/>
                <v:stroke linestyle="single" endcap="flat" dashstyle="solid" filltype="solid"/>
                <v:textbox style="layout-flow:horizontal;" inset="1.9999999999999996mm,0mm,1.9999999999999996mm,0mm">
                  <w:txbxContent>
                    <w:p>
                      <w:pPr>
                        <w:pStyle w:val="0"/>
                        <w:jc w:val="center"/>
                        <w:rPr>
                          <w:rFonts w:hint="eastAsia"/>
                          <w:sz w:val="16"/>
                        </w:rPr>
                      </w:pPr>
                      <w:r>
                        <w:rPr>
                          <w:rFonts w:hint="eastAsia"/>
                          <w:sz w:val="16"/>
                        </w:rPr>
                        <w:t>裏面へ続く</w:t>
                      </w:r>
                    </w:p>
                  </w:txbxContent>
                </v:textbox>
                <v:imagedata o:title=""/>
                <w10:wrap type="none" anchorx="text" anchory="text"/>
              </v:rect>
            </w:pict>
          </mc:Fallback>
        </mc:AlternateContent>
      </w:r>
      <w:r>
        <w:rPr>
          <w:rFonts w:hint="eastAsia"/>
          <w:spacing w:val="-10"/>
          <w:sz w:val="22"/>
        </w:rPr>
        <w:t>・　振込口座は正確に記入し、支店名、名義人には必ずフリガナを記入してください。</w:t>
      </w:r>
    </w:p>
    <w:p>
      <w:pPr>
        <w:pStyle w:val="0"/>
        <w:snapToGrid w:val="0"/>
        <w:spacing w:line="280" w:lineRule="exact"/>
        <w:ind w:left="740" w:leftChars="0" w:hanging="284" w:firstLineChars="0"/>
        <w:rPr>
          <w:rFonts w:hint="default"/>
          <w:b w:val="1"/>
          <w:spacing w:val="-10"/>
          <w:sz w:val="22"/>
        </w:rPr>
      </w:pPr>
      <w:r>
        <w:rPr>
          <w:rFonts w:hint="eastAsia"/>
          <w:spacing w:val="-10"/>
          <w:sz w:val="22"/>
        </w:rPr>
        <w:t>　　なお、</w:t>
      </w:r>
      <w:r>
        <w:rPr>
          <w:rFonts w:hint="eastAsia"/>
          <w:b w:val="1"/>
          <w:spacing w:val="-10"/>
          <w:sz w:val="22"/>
          <w:u w:val="single" w:color="auto"/>
        </w:rPr>
        <w:t>振込口座は、できるだけ広島銀行の口座を指定いただきますよう、ご協力をお願いします。</w:t>
      </w:r>
    </w:p>
    <w:p>
      <w:pPr>
        <w:pStyle w:val="0"/>
        <w:numPr>
          <w:ilvl w:val="0"/>
          <w:numId w:val="1"/>
        </w:numPr>
        <w:tabs>
          <w:tab w:val="clear" w:pos="660"/>
          <w:tab w:val="clear" w:pos="700"/>
          <w:tab w:val="clear" w:pos="710"/>
          <w:tab w:val="clear" w:pos="740"/>
          <w:tab w:val="clear" w:pos="750"/>
          <w:tab w:val="clear" w:pos="760"/>
          <w:tab w:val="clear" w:pos="810"/>
          <w:tab w:val="clear" w:pos="840"/>
          <w:tab w:val="clear" w:pos="900"/>
          <w:tab w:val="clear" w:pos="921"/>
          <w:tab w:val="clear" w:pos="960"/>
        </w:tabs>
        <w:snapToGrid w:val="0"/>
        <w:spacing w:line="280" w:lineRule="exact"/>
        <w:ind w:left="740" w:leftChars="0" w:hanging="284" w:firstLineChars="0"/>
        <w:rPr>
          <w:rFonts w:hint="default"/>
          <w:spacing w:val="-10"/>
          <w:sz w:val="22"/>
        </w:rPr>
      </w:pPr>
      <w:r>
        <w:rPr>
          <w:rFonts w:hint="eastAsia"/>
          <w:spacing w:val="-10"/>
          <w:sz w:val="22"/>
        </w:rPr>
        <w:t xml:space="preserve"> </w:t>
      </w:r>
      <w:r>
        <w:rPr>
          <w:rFonts w:hint="eastAsia"/>
          <w:spacing w:val="-10"/>
          <w:sz w:val="22"/>
        </w:rPr>
        <w:t>診療費請求明細を記入する際、訂正をしたときは、必ず、訂正箇所に訂正印を押印してください。（砂消しや白の修正液での訂正はしないでください。）</w:t>
      </w:r>
    </w:p>
    <w:p>
      <w:pPr>
        <w:pStyle w:val="0"/>
        <w:numPr>
          <w:numId w:val="0"/>
        </w:numPr>
        <w:tabs>
          <w:tab w:val="clear" w:pos="660"/>
          <w:tab w:val="clear" w:pos="700"/>
          <w:tab w:val="clear" w:pos="710"/>
          <w:tab w:val="clear" w:pos="740"/>
          <w:tab w:val="clear" w:pos="750"/>
          <w:tab w:val="clear" w:pos="760"/>
          <w:tab w:val="clear" w:pos="810"/>
          <w:tab w:val="clear" w:pos="840"/>
          <w:tab w:val="clear" w:pos="900"/>
          <w:tab w:val="clear" w:pos="921"/>
          <w:tab w:val="clear" w:pos="960"/>
        </w:tabs>
        <w:snapToGrid w:val="0"/>
        <w:spacing w:line="280" w:lineRule="exact"/>
        <w:ind w:left="720" w:leftChars="0" w:firstLine="0" w:firstLineChars="0"/>
        <w:rPr>
          <w:rFonts w:hint="default"/>
          <w:spacing w:val="-10"/>
          <w:sz w:val="22"/>
        </w:rPr>
      </w:pPr>
    </w:p>
    <w:p>
      <w:pPr>
        <w:pStyle w:val="0"/>
        <w:snapToGrid w:val="0"/>
        <w:spacing w:line="280" w:lineRule="exact"/>
        <w:rPr>
          <w:rFonts w:hint="default" w:ascii="ＭＳ ゴシック" w:hAnsi="ＭＳ ゴシック" w:eastAsia="ＭＳ ゴシック"/>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３　診療や検査内容の審査について　</w:t>
      </w:r>
    </w:p>
    <w:p>
      <w:pPr>
        <w:pStyle w:val="0"/>
        <w:snapToGrid w:val="0"/>
        <w:spacing w:line="280" w:lineRule="exact"/>
        <w:rPr>
          <w:rFonts w:hint="default"/>
          <w:spacing w:val="-10"/>
          <w:sz w:val="22"/>
        </w:rPr>
      </w:pPr>
      <w:r>
        <w:rPr>
          <w:rFonts w:hint="eastAsia"/>
          <w:spacing w:val="-10"/>
          <w:sz w:val="22"/>
        </w:rPr>
        <w:t>　基金では、提出いただいた診療報酬明細書の内容について審査を行い、傷病名と診療や検査内容について不明な場合には、各医療機関に内容の照会を行う場合があります。</w:t>
      </w:r>
    </w:p>
    <w:p>
      <w:pPr>
        <w:pStyle w:val="0"/>
        <w:snapToGrid w:val="0"/>
        <w:spacing w:line="280" w:lineRule="exact"/>
        <w:ind w:firstLine="228" w:firstLineChars="100"/>
        <w:rPr>
          <w:rFonts w:hint="default"/>
          <w:spacing w:val="-10"/>
          <w:sz w:val="22"/>
        </w:rPr>
      </w:pPr>
      <w:r>
        <w:rPr>
          <w:rFonts w:hint="eastAsia"/>
          <w:spacing w:val="-10"/>
          <w:sz w:val="22"/>
        </w:rPr>
        <w:t>認定傷病名に対して当該診療や検査等が必要であった理由などを必要に応じ参考資料を添付の上、回答いただくようお願いします。</w:t>
      </w:r>
    </w:p>
    <w:p>
      <w:pPr>
        <w:pStyle w:val="0"/>
        <w:snapToGrid w:val="0"/>
        <w:spacing w:line="280" w:lineRule="exact"/>
        <w:ind w:firstLine="229" w:firstLineChars="100"/>
        <w:rPr>
          <w:rFonts w:hint="default"/>
          <w:b w:val="1"/>
          <w:spacing w:val="-10"/>
          <w:sz w:val="22"/>
        </w:rPr>
      </w:pPr>
      <w:r>
        <w:rPr>
          <w:rFonts w:hint="eastAsia"/>
          <w:b w:val="1"/>
          <w:spacing w:val="-10"/>
          <w:sz w:val="22"/>
          <w:u w:val="single" w:color="auto"/>
        </w:rPr>
        <w:t>なお、過剰又は不必要な診療、検査と認められる場合には、療養費等の支払ができない場合がありますので、御了承ください。</w:t>
      </w:r>
    </w:p>
    <w:p>
      <w:pPr>
        <w:pStyle w:val="0"/>
        <w:snapToGrid w:val="0"/>
        <w:spacing w:line="280" w:lineRule="exact"/>
        <w:rPr>
          <w:rFonts w:hint="default"/>
          <w:spacing w:val="-10"/>
          <w:sz w:val="22"/>
        </w:rPr>
      </w:pPr>
      <w:r>
        <w:rPr>
          <w:rFonts w:hint="eastAsia"/>
          <w:spacing w:val="-10"/>
          <w:sz w:val="22"/>
        </w:rPr>
        <w:t>　</w:t>
      </w:r>
    </w:p>
    <w:p>
      <w:pPr>
        <w:pStyle w:val="0"/>
        <w:snapToGrid w:val="0"/>
        <w:spacing w:line="280" w:lineRule="exact"/>
        <w:rPr>
          <w:rFonts w:hint="default" w:ascii="ＭＳ ゴシック" w:hAnsi="ＭＳ ゴシック" w:eastAsia="ＭＳ ゴシック"/>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４　転医について</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ind w:firstLine="228" w:firstLineChars="100"/>
        <w:rPr>
          <w:rFonts w:hint="default"/>
          <w:spacing w:val="-10"/>
          <w:sz w:val="22"/>
        </w:rPr>
      </w:pPr>
      <w:r>
        <w:rPr>
          <w:rFonts w:hint="eastAsia"/>
          <w:spacing w:val="-10"/>
          <w:sz w:val="22"/>
        </w:rPr>
        <w:t>転医については、医療上又は勤務上の必要による場合は認められますが、重複診療その他被災職員の恣意による場合等は必要な療養とは認められませんので、療養補償の対象とはなりません。</w:t>
      </w:r>
    </w:p>
    <w:p>
      <w:pPr>
        <w:pStyle w:val="0"/>
        <w:snapToGrid w:val="0"/>
        <w:spacing w:line="280" w:lineRule="exact"/>
        <w:ind w:firstLine="228" w:firstLineChars="100"/>
        <w:rPr>
          <w:rFonts w:hint="default"/>
          <w:spacing w:val="-10"/>
          <w:sz w:val="22"/>
        </w:rPr>
      </w:pPr>
    </w:p>
    <w:p>
      <w:pPr>
        <w:pStyle w:val="0"/>
        <w:snapToGrid w:val="0"/>
        <w:spacing w:line="280" w:lineRule="exact"/>
        <w:rPr>
          <w:rFonts w:hint="default" w:ascii="ＭＳ ゴシック" w:hAnsi="ＭＳ ゴシック" w:eastAsia="ＭＳ ゴシック"/>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５　交通事故などの第三者加害事案の支払について　</w:t>
      </w:r>
    </w:p>
    <w:p>
      <w:pPr>
        <w:pStyle w:val="0"/>
        <w:snapToGrid w:val="0"/>
        <w:spacing w:line="280" w:lineRule="exact"/>
        <w:rPr>
          <w:rFonts w:hint="default"/>
          <w:b w:val="0"/>
          <w:color w:val="auto"/>
          <w:spacing w:val="-10"/>
          <w:sz w:val="22"/>
          <w:u w:val="single" w:color="auto"/>
        </w:rPr>
      </w:pPr>
      <w:r>
        <w:rPr>
          <w:rFonts w:hint="eastAsia"/>
          <w:spacing w:val="-10"/>
          <w:sz w:val="22"/>
        </w:rPr>
        <w:t>　交通事故など第三者の加害行為によって発生し、第三者に損害賠償責任がある公務災害・通勤災害の支払方法には、第三者で</w:t>
      </w:r>
      <w:r>
        <w:rPr>
          <w:rFonts w:hint="eastAsia"/>
          <w:b w:val="0"/>
          <w:color w:val="auto"/>
          <w:spacing w:val="-10"/>
          <w:sz w:val="22"/>
        </w:rPr>
        <w:t>ある加害者や加害者加入保険会社が直接、医療機関に支払う場合（示談先行）と、基金が支払う場合（補償先行）がありますが、</w:t>
      </w:r>
      <w:r>
        <w:rPr>
          <w:rFonts w:hint="eastAsia"/>
          <w:b w:val="0"/>
          <w:color w:val="auto"/>
          <w:sz w:val="22"/>
        </w:rPr>
        <w:t>いずれにするかは被災職員が選択することとしています。</w:t>
      </w:r>
    </w:p>
    <w:p>
      <w:pPr>
        <w:pStyle w:val="0"/>
        <w:snapToGrid w:val="0"/>
        <w:spacing w:line="280" w:lineRule="exact"/>
        <w:ind w:firstLine="228" w:firstLineChars="100"/>
        <w:rPr>
          <w:rFonts w:hint="default"/>
          <w:spacing w:val="-10"/>
          <w:sz w:val="22"/>
        </w:rPr>
      </w:pPr>
      <w:r>
        <w:rPr>
          <w:rFonts w:hint="eastAsia"/>
          <w:b w:val="0"/>
          <w:color w:val="auto"/>
          <w:spacing w:val="-10"/>
          <w:sz w:val="22"/>
        </w:rPr>
        <w:t>示談先行の場合、上記のとおり加害者や加害者加入保険会社が直接、医療機関に療養費等を支払うこととなりますが、これはあくまでも公務災害・通勤災害分の支払となりますので、診療単価については、自由診療ではなく、社会保険診療報酬点数計算、労災保険、労災保険柔道整復師施術料金算定基準に準じて（指定医療機関の場合には契約</w:t>
      </w:r>
      <w:r>
        <w:rPr>
          <w:rFonts w:hint="eastAsia"/>
          <w:spacing w:val="-10"/>
          <w:sz w:val="22"/>
        </w:rPr>
        <w:t>単価）お願いします。</w:t>
      </w:r>
    </w:p>
    <w:p>
      <w:pPr>
        <w:pStyle w:val="0"/>
        <w:snapToGrid w:val="0"/>
        <w:spacing w:line="280" w:lineRule="exact"/>
        <w:ind w:firstLine="228" w:firstLineChars="100"/>
        <w:rPr>
          <w:rFonts w:hint="default"/>
          <w:spacing w:val="-10"/>
          <w:sz w:val="22"/>
        </w:rPr>
      </w:pPr>
      <w:r>
        <w:rPr>
          <w:rFonts w:hint="eastAsia"/>
          <w:spacing w:val="-10"/>
          <w:sz w:val="22"/>
        </w:rPr>
        <w:t>なお、第三者加害事案の場合には、その支払方法について、被災職員が持参する公務災害認定通知書（写し）の「その他」の欄に「示談先行」又は「補償先行」の記載をしております。</w:t>
      </w:r>
    </w:p>
    <w:p>
      <w:pPr>
        <w:pStyle w:val="0"/>
        <w:snapToGrid w:val="0"/>
        <w:spacing w:line="280" w:lineRule="exact"/>
        <w:rPr>
          <w:rFonts w:hint="default" w:ascii="ＭＳ ゴシック" w:hAnsi="ＭＳ ゴシック" w:eastAsia="ＭＳ ゴシック"/>
          <w:b w:val="1"/>
          <w:spacing w:val="-10"/>
          <w:sz w:val="22"/>
          <w:bdr w:val="single" w:color="auto" w:sz="4" w:space="0"/>
        </w:rPr>
      </w:pPr>
    </w:p>
    <w:p>
      <w:pPr>
        <w:pStyle w:val="0"/>
        <w:snapToGrid w:val="0"/>
        <w:spacing w:line="280" w:lineRule="exact"/>
        <w:rPr>
          <w:rFonts w:hint="default" w:ascii="ＭＳ ゴシック" w:hAnsi="ＭＳ ゴシック" w:eastAsia="ＭＳ ゴシック"/>
          <w:b w:val="1"/>
          <w:color w:val="FF0000"/>
          <w:spacing w:val="-10"/>
          <w:sz w:val="22"/>
          <w:bdr w:val="single" w:color="auto" w:sz="4" w:space="0"/>
        </w:rPr>
      </w:pPr>
      <w:r>
        <w:rPr>
          <w:rFonts w:hint="eastAsia" w:ascii="ＭＳ ゴシック" w:hAnsi="ＭＳ ゴシック" w:eastAsia="ＭＳ ゴシック"/>
          <w:b w:val="1"/>
          <w:color w:val="FF0000"/>
          <w:spacing w:val="-10"/>
          <w:sz w:val="22"/>
          <w:bdr w:val="single" w:color="auto" w:sz="4" w:space="0"/>
          <w:shd w:val="pct15" w:color="auto" w:fill="auto"/>
        </w:rPr>
        <w:t>６　時効について</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rPr>
          <w:rFonts w:hint="default"/>
          <w:spacing w:val="-10"/>
          <w:sz w:val="22"/>
        </w:rPr>
      </w:pPr>
      <w:r>
        <w:rPr>
          <w:rFonts w:hint="eastAsia"/>
          <w:spacing w:val="-10"/>
          <w:sz w:val="22"/>
        </w:rPr>
        <w:t>　療養費請求の時効は２年ですので留意してください。（指定医療機関を除く。）</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spacing w:val="-10"/>
          <w:sz w:val="18"/>
        </w:rPr>
      </w:pPr>
      <w:r>
        <w:rPr>
          <w:rFonts w:hint="eastAsia" w:ascii="ＭＳ ゴシック" w:hAnsi="ＭＳ ゴシック" w:eastAsia="ＭＳ ゴシック"/>
          <w:b w:val="1"/>
          <w:color w:val="FF0000"/>
          <w:spacing w:val="-10"/>
          <w:sz w:val="22"/>
          <w:bdr w:val="single" w:color="auto" w:sz="4" w:space="0"/>
          <w:shd w:val="pct15" w:color="auto" w:fill="auto"/>
        </w:rPr>
        <w:t>７　認定傷病が治ゆ（症状固定）した場合</w:t>
      </w:r>
      <w:r>
        <w:rPr>
          <w:rFonts w:hint="eastAsia" w:ascii="ＭＳ ゴシック" w:hAnsi="ＭＳ ゴシック" w:eastAsia="ＭＳ ゴシック"/>
          <w:b w:val="1"/>
          <w:color w:val="FF0000"/>
          <w:spacing w:val="-10"/>
          <w:sz w:val="22"/>
          <w:bdr w:val="single" w:color="auto" w:sz="4" w:space="0"/>
          <w:shd w:val="pct15" w:color="auto" w:fill="auto"/>
        </w:rPr>
        <w:t xml:space="preserve">  </w:t>
      </w:r>
      <w:r>
        <w:rPr>
          <w:rFonts w:hint="eastAsia" w:ascii="ＭＳ ゴシック" w:hAnsi="ＭＳ ゴシック" w:eastAsia="ＭＳ ゴシック"/>
          <w:b w:val="1"/>
          <w:spacing w:val="-10"/>
          <w:sz w:val="18"/>
        </w:rPr>
        <w:t>（別紙『災害補償補償上の｢治ゆ｣について』を参照）</w:t>
      </w:r>
    </w:p>
    <w:p>
      <w:pPr>
        <w:pStyle w:val="0"/>
        <w:snapToGrid w:val="0"/>
        <w:spacing w:line="280" w:lineRule="exact"/>
        <w:ind w:left="218" w:leftChars="100" w:firstLine="228" w:firstLineChars="100"/>
        <w:rPr>
          <w:rFonts w:hint="default"/>
          <w:b w:val="1"/>
          <w:spacing w:val="-10"/>
          <w:sz w:val="22"/>
        </w:rPr>
      </w:pPr>
      <w:r>
        <w:rPr>
          <w:rFonts w:hint="eastAsia"/>
          <w:spacing w:val="-10"/>
          <w:sz w:val="22"/>
        </w:rPr>
        <w:t>基金では、完全治ゆのほか、その症状が固定し、もはや医療効果が期待できなくなった状態をもって、治ゆとして取り扱い、それ以後は基金の補償の対象とならず、共済組合証等を利用することとなりますので、認定傷病が治ゆ又は症状固定した場合は、その旨を被災職員に告げてください。</w:t>
      </w:r>
      <w:r>
        <w:rPr>
          <w:rFonts w:hint="eastAsia"/>
          <w:b w:val="1"/>
          <w:spacing w:val="-10"/>
          <w:sz w:val="22"/>
          <w:u w:val="single" w:color="auto"/>
        </w:rPr>
        <w:t>なお、既に治ゆ又は症状固定と認められる場合で、療養が継続している場合には職権により治ゆ認定を行う場合がありますが、その際には各医療機関にもお知らせします。</w:t>
      </w:r>
    </w:p>
    <w:p>
      <w:pPr>
        <w:pStyle w:val="0"/>
        <w:snapToGrid w:val="0"/>
        <w:spacing w:line="280" w:lineRule="exact"/>
        <w:ind w:left="218" w:leftChars="100" w:firstLine="228" w:firstLineChars="100"/>
        <w:rPr>
          <w:rFonts w:hint="default"/>
          <w:spacing w:val="-10"/>
          <w:sz w:val="22"/>
        </w:rPr>
      </w:pPr>
      <w:r>
        <w:rPr>
          <w:rFonts w:hint="eastAsia"/>
          <w:spacing w:val="-10"/>
          <w:sz w:val="22"/>
        </w:rPr>
        <w:t>また、治ゆ又は症状固定時に障害等級に該当する障害が残った場合には、被災職員から残存障害診断書の作成を依頼されることがありますが、労災保険後遺障害診断書に準じて作成をお願いします。（関節可動域の測定は労災の関節可動域測定要領によってください。）</w:t>
      </w:r>
    </w:p>
    <w:p>
      <w:pPr>
        <w:pStyle w:val="0"/>
        <w:snapToGrid w:val="0"/>
        <w:spacing w:line="280" w:lineRule="exact"/>
        <w:rPr>
          <w:rFonts w:hint="default"/>
          <w:b w:val="1"/>
          <w:spacing w:val="-10"/>
          <w:sz w:val="22"/>
        </w:rPr>
      </w:pPr>
    </w:p>
    <w:p>
      <w:pPr>
        <w:pStyle w:val="0"/>
        <w:snapToGrid w:val="0"/>
        <w:spacing w:line="280" w:lineRule="exact"/>
        <w:rPr>
          <w:rFonts w:hint="default"/>
          <w:b w:val="1"/>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８　療養補償費の支払時期について</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rPr>
          <w:rFonts w:hint="default"/>
          <w:spacing w:val="-10"/>
          <w:sz w:val="22"/>
        </w:rPr>
      </w:pPr>
      <w:r>
        <w:rPr>
          <w:rFonts w:hint="eastAsia"/>
          <w:spacing w:val="-10"/>
          <w:sz w:val="22"/>
        </w:rPr>
        <w:t>　　請求内容の確認が完了したものは、毎月、中旬から下旬の指定日に振込をしています。</w:t>
      </w:r>
    </w:p>
    <w:p>
      <w:pPr>
        <w:pStyle w:val="0"/>
        <w:snapToGrid w:val="0"/>
        <w:spacing w:line="280" w:lineRule="exact"/>
        <w:rPr>
          <w:rFonts w:hint="default"/>
          <w:spacing w:val="-10"/>
          <w:sz w:val="22"/>
        </w:rPr>
      </w:pPr>
      <w:r>
        <w:rPr>
          <w:rFonts w:hint="eastAsia"/>
          <w:spacing w:val="-10"/>
          <w:sz w:val="22"/>
        </w:rPr>
        <w:t>　　振込を行う場合には事前に職員の氏名、金額等をお知らせしますので、入金額の確認をお願いします。</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９　その他</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ind w:left="229" w:leftChars="105" w:firstLine="228" w:firstLineChars="100"/>
        <w:rPr>
          <w:rFonts w:hint="default"/>
          <w:spacing w:val="-10"/>
          <w:sz w:val="22"/>
        </w:rPr>
      </w:pPr>
      <w:r>
        <w:rPr>
          <w:rFonts w:hint="eastAsia"/>
          <w:spacing w:val="-10"/>
          <w:sz w:val="22"/>
        </w:rPr>
        <w:t>請求用紙はコピーして使用してください。</w:t>
      </w:r>
    </w:p>
    <w:p>
      <w:pPr>
        <w:pStyle w:val="0"/>
        <w:snapToGrid w:val="0"/>
        <w:spacing w:line="280" w:lineRule="exact"/>
        <w:ind w:left="229" w:leftChars="105" w:firstLine="228" w:firstLineChars="100"/>
        <w:rPr>
          <w:rFonts w:hint="default"/>
          <w:spacing w:val="-10"/>
          <w:sz w:val="22"/>
        </w:rPr>
      </w:pPr>
      <w:r>
        <w:rPr>
          <w:rFonts w:hint="eastAsia"/>
          <w:spacing w:val="-10"/>
          <w:sz w:val="22"/>
        </w:rPr>
        <w:t>用紙が足りない場合や、証明書等の用紙を必要とする場合は、被災職員又は所属へ連絡してください。県ホームページからもダウンロードできます。</w:t>
      </w:r>
    </w:p>
    <w:p>
      <w:pPr>
        <w:pStyle w:val="0"/>
        <w:snapToGrid w:val="0"/>
        <w:spacing w:line="280" w:lineRule="exact"/>
        <w:ind w:left="229" w:leftChars="105" w:firstLine="228" w:firstLineChars="100"/>
        <w:rPr>
          <w:rFonts w:hint="default"/>
          <w:spacing w:val="-10"/>
          <w:sz w:val="22"/>
        </w:rPr>
      </w:pPr>
    </w:p>
    <w:tbl>
      <w:tblPr>
        <w:tblStyle w:val="11"/>
        <w:tblW w:w="9639" w:type="dxa"/>
        <w:jc w:val="left"/>
        <w:tblInd w:w="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9639"/>
      </w:tblGrid>
      <w:tr>
        <w:trPr>
          <w:cantSplit/>
          <w:trHeight w:val="950" w:hRule="atLeast"/>
        </w:trPr>
        <w:tc>
          <w:tcPr>
            <w:tcW w:w="9639"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napToGrid w:val="0"/>
              <w:spacing w:line="2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地方公務員災害補償基金広島県支部</w:t>
            </w:r>
          </w:p>
          <w:p>
            <w:pPr>
              <w:pStyle w:val="0"/>
              <w:snapToGrid w:val="0"/>
              <w:spacing w:line="220" w:lineRule="exact"/>
              <w:ind w:left="0" w:leftChars="100" w:right="0" w:rightChars="0" w:firstLine="0" w:firstLineChars="0"/>
              <w:rPr>
                <w:rFonts w:hint="default"/>
                <w:color w:val="auto"/>
                <w:sz w:val="20"/>
              </w:rPr>
            </w:pPr>
            <w:r>
              <w:rPr>
                <w:rFonts w:hint="eastAsia"/>
                <w:color w:val="auto"/>
                <w:sz w:val="20"/>
              </w:rPr>
              <w:t>〒</w:t>
            </w:r>
            <w:r>
              <w:rPr>
                <w:rFonts w:hint="eastAsia"/>
                <w:color w:val="auto"/>
                <w:sz w:val="20"/>
              </w:rPr>
              <w:t>730-8511</w:t>
            </w:r>
            <w:r>
              <w:rPr>
                <w:rFonts w:hint="default"/>
                <w:color w:val="auto"/>
                <w:sz w:val="20"/>
              </w:rPr>
              <w:t xml:space="preserve">  </w:t>
            </w:r>
            <w:r>
              <w:rPr>
                <w:rFonts w:hint="eastAsia"/>
                <w:color w:val="auto"/>
                <w:sz w:val="20"/>
              </w:rPr>
              <w:t>広島市中区基町</w:t>
            </w:r>
            <w:r>
              <w:rPr>
                <w:rFonts w:hint="eastAsia"/>
                <w:color w:val="auto"/>
                <w:sz w:val="20"/>
              </w:rPr>
              <w:t>10-52</w:t>
            </w:r>
            <w:r>
              <w:rPr>
                <w:rFonts w:hint="eastAsia"/>
                <w:color w:val="auto"/>
                <w:sz w:val="20"/>
              </w:rPr>
              <w:t>　県庁福利課内　　　　　℡</w:t>
            </w:r>
            <w:r>
              <w:rPr>
                <w:rFonts w:hint="default"/>
                <w:color w:val="auto"/>
                <w:sz w:val="20"/>
              </w:rPr>
              <w:t xml:space="preserve"> </w:t>
            </w:r>
            <w:r>
              <w:rPr>
                <w:rFonts w:hint="eastAsia"/>
                <w:color w:val="auto"/>
                <w:sz w:val="20"/>
              </w:rPr>
              <w:t>082-513-2265</w:t>
            </w:r>
          </w:p>
          <w:p>
            <w:pPr>
              <w:pStyle w:val="0"/>
              <w:snapToGrid w:val="0"/>
              <w:spacing w:line="220" w:lineRule="exact"/>
              <w:ind w:left="0" w:leftChars="100" w:right="0" w:rightChars="0" w:firstLine="0" w:firstLineChars="0"/>
              <w:rPr>
                <w:rFonts w:hint="default"/>
                <w:color w:val="auto"/>
                <w:sz w:val="20"/>
              </w:rPr>
            </w:pPr>
            <w:r>
              <w:rPr>
                <w:rFonts w:hint="eastAsia"/>
                <w:color w:val="auto"/>
                <w:sz w:val="20"/>
              </w:rPr>
              <w:t>電子メール　</w:t>
            </w:r>
            <w:r>
              <w:rPr>
                <w:rFonts w:hint="eastAsia"/>
              </w:rPr>
              <w:fldChar w:fldCharType="begin"/>
            </w:r>
            <w:r>
              <w:rPr>
                <w:rFonts w:hint="eastAsia"/>
              </w:rPr>
              <w:instrText xml:space="preserve"> HYPERLINK "mailto:hiroshima-pref@ml.chikousai.jp"</w:instrText>
            </w:r>
            <w:r>
              <w:rPr>
                <w:rFonts w:hint="eastAsia"/>
              </w:rPr>
              <w:fldChar w:fldCharType="separate"/>
            </w:r>
            <w:r>
              <w:rPr>
                <w:rStyle w:val="17"/>
                <w:rFonts w:hint="default"/>
                <w:color w:val="auto"/>
                <w:sz w:val="20"/>
                <w:u w:val="none" w:color="auto"/>
              </w:rPr>
              <w:t>hiros</w:t>
            </w:r>
            <w:r>
              <w:rPr>
                <w:rStyle w:val="17"/>
                <w:rFonts w:hint="eastAsia"/>
                <w:color w:val="auto"/>
                <w:sz w:val="20"/>
                <w:u w:val="none" w:color="auto"/>
              </w:rPr>
              <w:t>h</w:t>
            </w:r>
            <w:r>
              <w:rPr>
                <w:rStyle w:val="17"/>
                <w:rFonts w:hint="default"/>
                <w:color w:val="auto"/>
                <w:sz w:val="20"/>
                <w:u w:val="none" w:color="auto"/>
              </w:rPr>
              <w:t>ima-pref@ml.chikousai.jp</w:t>
            </w:r>
            <w:r>
              <w:rPr>
                <w:rFonts w:hint="eastAsia"/>
              </w:rPr>
              <w:fldChar w:fldCharType="end"/>
            </w:r>
          </w:p>
          <w:p>
            <w:pPr>
              <w:pStyle w:val="0"/>
              <w:snapToGrid w:val="0"/>
              <w:spacing w:line="220" w:lineRule="exact"/>
              <w:ind w:left="0" w:leftChars="100" w:right="0" w:rightChars="0" w:firstLine="0" w:firstLineChars="0"/>
              <w:rPr>
                <w:rFonts w:hint="default" w:ascii="ＭＳ ゴシック" w:hAnsi="ＭＳ ゴシック" w:eastAsia="ＭＳ ゴシック"/>
                <w:b w:val="1"/>
                <w:sz w:val="22"/>
              </w:rPr>
            </w:pPr>
            <w:r>
              <w:rPr>
                <w:rFonts w:hint="eastAsia"/>
                <w:color w:val="auto"/>
                <w:sz w:val="20"/>
              </w:rPr>
              <w:t>ホームページ</w:t>
            </w:r>
            <w:r>
              <w:rPr>
                <w:rFonts w:hint="eastAsia"/>
                <w:color w:val="auto"/>
                <w:sz w:val="20"/>
              </w:rPr>
              <w:t xml:space="preserve"> </w:t>
            </w:r>
            <w:r>
              <w:rPr>
                <w:rFonts w:hint="default"/>
                <w:color w:val="auto"/>
                <w:sz w:val="20"/>
              </w:rPr>
              <w:t>http://www.pref.hiroshima.lg.jp/site/tihoukoumuinnsaigaihosyoukikinn/</w:t>
            </w:r>
          </w:p>
        </w:tc>
      </w:tr>
    </w:tbl>
    <w:p>
      <w:pPr>
        <w:pStyle w:val="0"/>
        <w:snapToGrid w:val="0"/>
        <w:spacing w:line="360" w:lineRule="auto"/>
        <w:rPr>
          <w:rFonts w:hint="default"/>
        </w:rPr>
      </w:pPr>
    </w:p>
    <w:sectPr>
      <w:footerReference r:id="rId6" w:type="default"/>
      <w:type w:val="continuous"/>
      <w:pgSz w:w="11906" w:h="16838"/>
      <w:pgMar w:top="850" w:right="907" w:bottom="737" w:left="907" w:header="0" w:footer="0" w:gutter="0"/>
      <w:cols w:space="720"/>
      <w:noEndnote w:val="1"/>
      <w:textDirection w:val="lrTb"/>
      <w:docGrid w:type="linesAndChars" w:linePitch="454"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F8737C"/>
    <w:lvl w:ilvl="0" w:tplc="EF205938">
      <w:numFmt w:val="bullet"/>
      <w:lvlText w:val="・"/>
      <w:lvlJc w:val="left"/>
      <w:pPr>
        <w:tabs>
          <w:tab w:val="num" w:leader="none" w:pos="921"/>
        </w:tabs>
        <w:ind w:left="921" w:hanging="465"/>
      </w:pPr>
      <w:rPr>
        <w:rFonts w:hint="eastAsia" w:ascii="ＭＳ 明朝" w:hAnsi="ＭＳ 明朝" w:eastAsia="ＭＳ 明朝"/>
      </w:rPr>
    </w:lvl>
    <w:lvl w:ilvl="1" w:tplc="0409000B">
      <w:numFmt w:val="bullet"/>
      <w:lvlText w:val=""/>
      <w:lvlJc w:val="left"/>
      <w:pPr>
        <w:tabs>
          <w:tab w:val="num" w:leader="none" w:pos="1296"/>
        </w:tabs>
        <w:ind w:left="1296" w:hanging="420"/>
      </w:pPr>
      <w:rPr>
        <w:rFonts w:hint="default" w:ascii="Wingdings" w:hAnsi="Wingdings"/>
      </w:rPr>
    </w:lvl>
    <w:lvl w:ilvl="2" w:tplc="0409000D">
      <w:numFmt w:val="bullet"/>
      <w:lvlText w:val=""/>
      <w:lvlJc w:val="left"/>
      <w:pPr>
        <w:tabs>
          <w:tab w:val="num" w:leader="none" w:pos="1716"/>
        </w:tabs>
        <w:ind w:left="1716" w:hanging="420"/>
      </w:pPr>
      <w:rPr>
        <w:rFonts w:hint="default" w:ascii="Wingdings" w:hAnsi="Wingdings"/>
      </w:rPr>
    </w:lvl>
    <w:lvl w:ilvl="3" w:tplc="04090001">
      <w:numFmt w:val="bullet"/>
      <w:lvlText w:val=""/>
      <w:lvlJc w:val="left"/>
      <w:pPr>
        <w:tabs>
          <w:tab w:val="num" w:leader="none" w:pos="2136"/>
        </w:tabs>
        <w:ind w:left="2136" w:hanging="420"/>
      </w:pPr>
      <w:rPr>
        <w:rFonts w:hint="default" w:ascii="Wingdings" w:hAnsi="Wingdings"/>
      </w:rPr>
    </w:lvl>
    <w:lvl w:ilvl="4" w:tplc="0409000B">
      <w:numFmt w:val="bullet"/>
      <w:lvlText w:val=""/>
      <w:lvlJc w:val="left"/>
      <w:pPr>
        <w:tabs>
          <w:tab w:val="num" w:leader="none" w:pos="2556"/>
        </w:tabs>
        <w:ind w:left="2556" w:hanging="420"/>
      </w:pPr>
      <w:rPr>
        <w:rFonts w:hint="default" w:ascii="Wingdings" w:hAnsi="Wingdings"/>
      </w:rPr>
    </w:lvl>
    <w:lvl w:ilvl="5" w:tplc="0409000D">
      <w:numFmt w:val="bullet"/>
      <w:lvlText w:val=""/>
      <w:lvlJc w:val="left"/>
      <w:pPr>
        <w:tabs>
          <w:tab w:val="num" w:leader="none" w:pos="2976"/>
        </w:tabs>
        <w:ind w:left="2976" w:hanging="420"/>
      </w:pPr>
      <w:rPr>
        <w:rFonts w:hint="default" w:ascii="Wingdings" w:hAnsi="Wingdings"/>
      </w:rPr>
    </w:lvl>
    <w:lvl w:ilvl="6" w:tplc="04090001">
      <w:numFmt w:val="bullet"/>
      <w:lvlText w:val=""/>
      <w:lvlJc w:val="left"/>
      <w:pPr>
        <w:tabs>
          <w:tab w:val="num" w:leader="none" w:pos="3396"/>
        </w:tabs>
        <w:ind w:left="3396" w:hanging="420"/>
      </w:pPr>
      <w:rPr>
        <w:rFonts w:hint="default" w:ascii="Wingdings" w:hAnsi="Wingdings"/>
      </w:rPr>
    </w:lvl>
    <w:lvl w:ilvl="7" w:tplc="0409000B">
      <w:numFmt w:val="bullet"/>
      <w:lvlText w:val=""/>
      <w:lvlJc w:val="left"/>
      <w:pPr>
        <w:tabs>
          <w:tab w:val="num" w:leader="none" w:pos="3816"/>
        </w:tabs>
        <w:ind w:left="3816" w:hanging="420"/>
      </w:pPr>
      <w:rPr>
        <w:rFonts w:hint="default" w:ascii="Wingdings" w:hAnsi="Wingdings"/>
      </w:rPr>
    </w:lvl>
    <w:lvl w:ilvl="8" w:tplc="0409000D">
      <w:numFmt w:val="bullet"/>
      <w:lvlText w:val=""/>
      <w:lvlJc w:val="left"/>
      <w:pPr>
        <w:tabs>
          <w:tab w:val="num" w:leader="none" w:pos="4236"/>
        </w:tabs>
        <w:ind w:left="423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2"/>
  <w:drawingGridHorizontalSpacing w:val="2"/>
  <w:drawingGridVerticalSpacing w:val="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Hyperlink"/>
    <w:next w:val="17"/>
    <w:link w:val="0"/>
    <w:uiPriority w:val="0"/>
    <w:rPr>
      <w:color w:val="0000FF"/>
      <w:u w:val="single" w:color="auto"/>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color w:val="00000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454</TotalTime>
  <Pages>2</Pages>
  <Words>39</Words>
  <Characters>3228</Characters>
  <Application>JUST Note</Application>
  <Lines>313</Lines>
  <Paragraphs>67</Paragraphs>
  <Company>京都府</Company>
  <CharactersWithSpaces>3327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(被災職員の方へ)本書に認定通知書の写しを必ず添付して、医療機関の窓口に提出してください</dc:title>
  <dc:creator>K212003024</dc:creator>
  <cp:lastModifiedBy>木村 珠莉</cp:lastModifiedBy>
  <cp:lastPrinted>2024-06-28T02:41:10Z</cp:lastPrinted>
  <dcterms:created xsi:type="dcterms:W3CDTF">2019-03-04T23:44:00Z</dcterms:created>
  <dcterms:modified xsi:type="dcterms:W3CDTF">2026-06-05T06:25:40Z</dcterms:modified>
  <cp:revision>27</cp:revision>
</cp:coreProperties>
</file>