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/>
        <w:rPr>
          <w:rFonts w:hint="default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様式４</w:t>
      </w:r>
    </w:p>
    <w:p>
      <w:pPr>
        <w:pStyle w:val="0"/>
        <w:rPr>
          <w:rFonts w:hint="default" w:eastAsia="ＭＳ ゴシック"/>
        </w:rPr>
      </w:pPr>
      <w:r>
        <w:rPr>
          <w:rFonts w:hint="eastAsia" w:eastAsia="ＭＳ ゴシック"/>
        </w:rPr>
        <w:t>　　　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体　力　測　定　結　果　表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tabs>
          <w:tab w:val="left" w:leader="none" w:pos="4620"/>
        </w:tabs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　　　　　　　</w:t>
      </w:r>
      <w:r>
        <w:rPr>
          <w:rFonts w:hint="eastAsia" w:ascii="ＭＳ ゴシック" w:hAnsi="ＭＳ ゴシック" w:eastAsia="ＭＳ ゴシック"/>
          <w:spacing w:val="105"/>
          <w:sz w:val="28"/>
          <w:fitText w:val="2240" w:id="1"/>
        </w:rPr>
        <w:t>実施年月</w:t>
      </w:r>
      <w:r>
        <w:rPr>
          <w:rFonts w:hint="eastAsia" w:ascii="ＭＳ ゴシック" w:hAnsi="ＭＳ ゴシック" w:eastAsia="ＭＳ ゴシック"/>
          <w:sz w:val="28"/>
          <w:fitText w:val="2240" w:id="1"/>
        </w:rPr>
        <w:t>日</w:t>
      </w:r>
      <w:r>
        <w:rPr>
          <w:rFonts w:hint="eastAsia" w:ascii="ＭＳ ゴシック" w:hAnsi="ＭＳ ゴシック" w:eastAsia="ＭＳ ゴシック"/>
          <w:sz w:val="36"/>
        </w:rPr>
        <w:t>　　　　年　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月　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日</w:t>
      </w:r>
    </w:p>
    <w:p>
      <w:pPr>
        <w:pStyle w:val="0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ゴシック" w:hAnsi="ＭＳ ゴシック" w:eastAsia="ＭＳ ゴシック"/>
          <w:sz w:val="36"/>
        </w:rPr>
        <w:t xml:space="preserve">            </w:t>
      </w:r>
      <w:r>
        <w:rPr>
          <w:rFonts w:hint="eastAsia" w:ascii="ＭＳ ゴシック" w:hAnsi="ＭＳ ゴシック" w:eastAsia="ＭＳ ゴシック"/>
          <w:sz w:val="36"/>
        </w:rPr>
        <w:t>　</w:t>
      </w:r>
      <w:r>
        <w:rPr>
          <w:rFonts w:hint="eastAsia" w:ascii="ＭＳ ゴシック" w:hAnsi="ＭＳ ゴシック" w:eastAsia="ＭＳ ゴシック"/>
          <w:sz w:val="28"/>
        </w:rPr>
        <w:t>消防（局）本部名　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z w:val="36"/>
        </w:rPr>
        <w:t>　　　　　　　</w:t>
      </w:r>
      <w:r>
        <w:rPr>
          <w:rFonts w:hint="eastAsia" w:ascii="ＭＳ ゴシック" w:hAnsi="ＭＳ ゴシック" w:eastAsia="ＭＳ ゴシック"/>
          <w:sz w:val="28"/>
        </w:rPr>
        <w:t>氏　　　　　</w:t>
      </w:r>
      <w:r>
        <w:rPr>
          <w:rFonts w:hint="default" w:ascii="ＭＳ ゴシック" w:hAnsi="ＭＳ ゴシック" w:eastAsia="ＭＳ ゴシック"/>
          <w:sz w:val="28"/>
        </w:rPr>
        <w:t xml:space="preserve">  </w:t>
      </w:r>
      <w:r>
        <w:rPr>
          <w:rFonts w:hint="eastAsia" w:ascii="ＭＳ ゴシック" w:hAnsi="ＭＳ ゴシック" w:eastAsia="ＭＳ ゴシック"/>
          <w:sz w:val="28"/>
        </w:rPr>
        <w:t>名　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30"/>
        <w:gridCol w:w="1848"/>
        <w:gridCol w:w="2085"/>
        <w:gridCol w:w="1842"/>
      </w:tblGrid>
      <w:tr>
        <w:trPr>
          <w:cantSplit/>
        </w:trPr>
        <w:tc>
          <w:tcPr>
            <w:tcW w:w="2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測定項目</w:t>
            </w:r>
          </w:p>
        </w:tc>
        <w:tc>
          <w:tcPr>
            <w:tcW w:w="393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測定値</w:t>
            </w:r>
          </w:p>
        </w:tc>
        <w:tc>
          <w:tcPr>
            <w:tcW w:w="184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得点</w:t>
            </w:r>
          </w:p>
        </w:tc>
      </w:tr>
      <w:tr>
        <w:trPr>
          <w:cantSplit/>
          <w:trHeight w:val="825" w:hRule="atLeast"/>
        </w:trPr>
        <w:tc>
          <w:tcPr>
            <w:tcW w:w="273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握　　　力</w:t>
            </w:r>
          </w:p>
        </w:tc>
        <w:tc>
          <w:tcPr>
            <w:tcW w:w="1848" w:type="dxa"/>
            <w:tcBorders>
              <w:top w:val="none" w:color="auto" w:sz="0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右</w:t>
            </w:r>
          </w:p>
        </w:tc>
        <w:tc>
          <w:tcPr>
            <w:tcW w:w="20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（左右平均値）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16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Kg</w:t>
            </w:r>
          </w:p>
        </w:tc>
        <w:tc>
          <w:tcPr>
            <w:tcW w:w="18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27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1848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左</w:t>
            </w:r>
          </w:p>
        </w:tc>
        <w:tc>
          <w:tcPr>
            <w:tcW w:w="20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27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懸　　　垂</w:t>
            </w:r>
          </w:p>
        </w:tc>
        <w:tc>
          <w:tcPr>
            <w:tcW w:w="393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　　　　　　　　　回</w:t>
            </w:r>
          </w:p>
        </w:tc>
        <w:tc>
          <w:tcPr>
            <w:tcW w:w="184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  <w:tr>
        <w:trPr>
          <w:cantSplit/>
          <w:trHeight w:val="591" w:hRule="atLeast"/>
        </w:trPr>
        <w:tc>
          <w:tcPr>
            <w:tcW w:w="27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上体起こし</w:t>
            </w:r>
          </w:p>
        </w:tc>
        <w:tc>
          <w:tcPr>
            <w:tcW w:w="393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　　　　　　　　　回</w:t>
            </w:r>
          </w:p>
        </w:tc>
        <w:tc>
          <w:tcPr>
            <w:tcW w:w="184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  <w:tr>
        <w:trPr>
          <w:cantSplit/>
          <w:trHeight w:val="531" w:hRule="atLeast"/>
        </w:trPr>
        <w:tc>
          <w:tcPr>
            <w:tcW w:w="273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0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１５００ｍ走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又は</w:t>
            </w:r>
          </w:p>
          <w:p>
            <w:pPr>
              <w:pStyle w:val="0"/>
              <w:spacing w:line="50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シャトルラン</w:t>
            </w:r>
          </w:p>
        </w:tc>
        <w:tc>
          <w:tcPr>
            <w:tcW w:w="3933" w:type="dxa"/>
            <w:gridSpan w:val="2"/>
            <w:tcBorders>
              <w:top w:val="none" w:color="auto" w:sz="0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　　　　分　　　　秒</w:t>
            </w:r>
          </w:p>
        </w:tc>
        <w:tc>
          <w:tcPr>
            <w:tcW w:w="1842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  <w:tr>
        <w:trPr>
          <w:cantSplit/>
          <w:trHeight w:val="679" w:hRule="atLeast"/>
        </w:trPr>
        <w:tc>
          <w:tcPr>
            <w:tcW w:w="27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3933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　　　　　　　　　回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  <w:tr>
        <w:trPr>
          <w:cantSplit/>
          <w:trHeight w:val="744" w:hRule="atLeast"/>
        </w:trPr>
        <w:tc>
          <w:tcPr>
            <w:tcW w:w="6663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合計得点</w:t>
            </w:r>
          </w:p>
        </w:tc>
        <w:tc>
          <w:tcPr>
            <w:tcW w:w="184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="-210" w:firstLine="105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（注）１　各測定項目の測定に当たっては、「</w:t>
      </w:r>
      <w:r>
        <w:rPr>
          <w:rFonts w:hint="eastAsia" w:eastAsia="ＭＳ ゴシック"/>
          <w:sz w:val="22"/>
        </w:rPr>
        <w:t>救助科入校学生の</w:t>
      </w:r>
      <w:r>
        <w:rPr>
          <w:rFonts w:hint="eastAsia" w:ascii="ＭＳ ゴシック" w:hAnsi="ＭＳ ゴシック" w:eastAsia="ＭＳ ゴシック"/>
          <w:sz w:val="22"/>
        </w:rPr>
        <w:t>体力測定実施要領」に</w:t>
      </w:r>
    </w:p>
    <w:p>
      <w:pPr>
        <w:pStyle w:val="0"/>
        <w:ind w:left="-210" w:firstLine="105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十分留意すること。</w:t>
      </w:r>
    </w:p>
    <w:p>
      <w:pPr>
        <w:pStyle w:val="0"/>
        <w:ind w:left="-210" w:firstLine="770" w:firstLineChars="3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　総合得点２３点未満の場合は、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消防本部（局）からの事前協議により入校を</w:t>
      </w:r>
    </w:p>
    <w:p>
      <w:pPr>
        <w:pStyle w:val="0"/>
        <w:ind w:left="-210" w:leftChars="-100" w:firstLine="979" w:firstLineChars="445"/>
        <w:rPr>
          <w:rFonts w:hint="default"/>
        </w:rPr>
      </w:pPr>
      <w:r>
        <w:rPr>
          <w:rFonts w:hint="eastAsia" w:ascii="ＭＳ ゴシック" w:hAnsi="ＭＳ ゴシック" w:eastAsia="ＭＳ ゴシック"/>
          <w:sz w:val="22"/>
        </w:rPr>
        <w:t>決定する。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167</Characters>
  <Application>JUST Note</Application>
  <Lines>108</Lines>
  <Paragraphs>28</Paragraphs>
  <Company>広島県</Company>
  <CharactersWithSpaces>296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様式３</dc:title>
  <dc:creator>広島県</dc:creator>
  <cp:lastModifiedBy>岩下 雅俊</cp:lastModifiedBy>
  <cp:lastPrinted>2018-01-26T08:39:00Z</cp:lastPrinted>
  <dcterms:created xsi:type="dcterms:W3CDTF">2021-01-26T03:39:00Z</dcterms:created>
  <dcterms:modified xsi:type="dcterms:W3CDTF">2021-01-26T03:39:48Z</dcterms:modified>
  <cp:revision>2</cp:revision>
</cp:coreProperties>
</file>