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8875" w14:textId="77777777" w:rsidR="005F200F" w:rsidRPr="008735FB" w:rsidRDefault="005F200F" w:rsidP="005F200F">
      <w:pPr>
        <w:ind w:firstLineChars="87" w:firstLine="167"/>
        <w:rPr>
          <w:rFonts w:ascii="ＭＳ 明朝" w:hAnsi="ＭＳ 明朝"/>
          <w:color w:val="0000FF"/>
          <w:sz w:val="22"/>
          <w:szCs w:val="22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13479" wp14:editId="6A26F406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447675" cy="504190"/>
                <wp:effectExtent l="0" t="28257" r="38417" b="38418"/>
                <wp:wrapNone/>
                <wp:docPr id="599694995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535E9" w14:textId="77777777" w:rsidR="005F200F" w:rsidRPr="00974EE2" w:rsidRDefault="005F200F" w:rsidP="005F200F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134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2.15pt;width:35.25pt;height:39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1F7535E9" w14:textId="77777777" w:rsidR="005F200F" w:rsidRPr="00974EE2" w:rsidRDefault="005F200F" w:rsidP="005F200F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2D820" w14:textId="77777777" w:rsidR="005F200F" w:rsidRPr="008735FB" w:rsidRDefault="005F200F" w:rsidP="005F200F">
      <w:pPr>
        <w:ind w:firstLineChars="87" w:firstLine="175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 w:hint="eastAsia"/>
          <w:color w:val="0000FF"/>
          <w:sz w:val="22"/>
          <w:szCs w:val="22"/>
        </w:rPr>
        <w:t xml:space="preserve">　　　</w:t>
      </w:r>
      <w:r w:rsidRPr="008735FB">
        <w:rPr>
          <w:rFonts w:ascii="ＭＳ 明朝" w:hAnsi="ＭＳ 明朝" w:hint="eastAsia"/>
          <w:color w:val="0070C0"/>
          <w:sz w:val="22"/>
          <w:szCs w:val="22"/>
        </w:rPr>
        <w:t xml:space="preserve"> </w:t>
      </w:r>
      <w:r w:rsidRPr="008735FB">
        <w:rPr>
          <w:rFonts w:ascii="ＭＳ 明朝" w:hAnsi="ＭＳ 明朝" w:hint="eastAsia"/>
          <w:b/>
          <w:sz w:val="24"/>
        </w:rPr>
        <w:t>広島県の令和６年度平均値と平成12年度平均値との比較</w:t>
      </w:r>
    </w:p>
    <w:p w14:paraId="28FA4BD9" w14:textId="77777777" w:rsidR="005F200F" w:rsidRPr="008735FB" w:rsidRDefault="005F200F" w:rsidP="005F200F">
      <w:pPr>
        <w:rPr>
          <w:rFonts w:ascii="ＭＳ 明朝" w:hAnsi="ＭＳ 明朝"/>
          <w:sz w:val="24"/>
        </w:rPr>
      </w:pPr>
    </w:p>
    <w:p w14:paraId="253C8000" w14:textId="77777777" w:rsidR="005F200F" w:rsidRPr="008735FB" w:rsidRDefault="005F200F" w:rsidP="005F200F">
      <w:pPr>
        <w:pStyle w:val="a9"/>
        <w:widowControl/>
        <w:numPr>
          <w:ilvl w:val="0"/>
          <w:numId w:val="3"/>
        </w:numPr>
        <w:jc w:val="left"/>
        <w:rPr>
          <w:rFonts w:ascii="ＭＳ 明朝" w:hAnsi="ＭＳ 明朝"/>
        </w:rPr>
      </w:pPr>
      <w:r w:rsidRPr="008735FB">
        <w:rPr>
          <w:rFonts w:ascii="ＭＳ 明朝" w:hAnsi="ＭＳ 明朝" w:hint="eastAsia"/>
        </w:rPr>
        <w:t xml:space="preserve">　次の表は、テスト項目ごとに令和６年度の県平均値について、平成12年度の県平均値と比較して、「平成12年度以上の項</w:t>
      </w:r>
      <w:r w:rsidRPr="008735FB">
        <w:rPr>
          <w:rFonts w:ascii="ＭＳ 明朝" w:hAnsi="ＭＳ 明朝" w:hint="eastAsia"/>
          <w:color w:val="000000"/>
        </w:rPr>
        <w:t>目」、「平成12年度を下回</w:t>
      </w:r>
      <w:r w:rsidRPr="008735FB">
        <w:rPr>
          <w:rFonts w:ascii="ＭＳ 明朝" w:hAnsi="ＭＳ 明朝" w:hint="eastAsia"/>
        </w:rPr>
        <w:t>っている項目」を男女年齢別に表したものである。</w:t>
      </w:r>
    </w:p>
    <w:p w14:paraId="1D07545F" w14:textId="77777777" w:rsidR="005F200F" w:rsidRPr="008735FB" w:rsidRDefault="005F200F" w:rsidP="005F200F">
      <w:pPr>
        <w:pStyle w:val="a9"/>
        <w:ind w:left="820"/>
        <w:rPr>
          <w:rFonts w:ascii="ＭＳ 明朝" w:hAnsi="ＭＳ 明朝"/>
        </w:rPr>
      </w:pPr>
    </w:p>
    <w:p w14:paraId="3D3C8838" w14:textId="77777777" w:rsidR="005F200F" w:rsidRPr="008735FB" w:rsidRDefault="005F200F" w:rsidP="005F200F">
      <w:pPr>
        <w:pStyle w:val="a9"/>
        <w:ind w:left="820"/>
        <w:rPr>
          <w:rFonts w:ascii="ＭＳ 明朝" w:hAnsi="ＭＳ 明朝"/>
        </w:rPr>
      </w:pP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83DC" wp14:editId="250B8E87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5066665" cy="369570"/>
                <wp:effectExtent l="0" t="1905" r="0" b="0"/>
                <wp:wrapNone/>
                <wp:docPr id="73" name="Text Box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A1DCB8" w14:textId="77777777" w:rsidR="005F200F" w:rsidRPr="00F67613" w:rsidRDefault="005F200F" w:rsidP="005F200F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3355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広島県平均値（令和６</w:t>
                            </w:r>
                            <w:r w:rsidRPr="00B3355E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年度）と広島県平均値（平成12年度）との比</w:t>
                            </w:r>
                            <w:r w:rsidRPr="00B3355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83DC" id="_x0000_t202" coordsize="21600,21600" o:spt="202" path="m,l,21600r21600,l21600,xe">
                <v:stroke joinstyle="miter"/>
                <v:path gradientshapeok="t" o:connecttype="rect"/>
              </v:shapetype>
              <v:shape id="Text Box 7176" o:spid="_x0000_s1027" type="#_x0000_t202" style="position:absolute;left:0;text-align:left;margin-left:33.75pt;margin-top:1.5pt;width:398.9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" filled="f" stroked="f">
                <v:textbox>
                  <w:txbxContent>
                    <w:p w14:paraId="6EA1DCB8" w14:textId="77777777" w:rsidR="005F200F" w:rsidRPr="00F67613" w:rsidRDefault="005F200F" w:rsidP="005F200F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B3355E">
                        <w:rPr>
                          <w:rFonts w:hint="eastAsia"/>
                          <w:b/>
                          <w:bCs/>
                          <w:sz w:val="24"/>
                        </w:rPr>
                        <w:t>広島県平均値（令和６</w:t>
                      </w:r>
                      <w:r w:rsidRPr="00B3355E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年度）と広島県平均値（平成12年度）との比</w:t>
                      </w:r>
                      <w:r w:rsidRPr="00B3355E">
                        <w:rPr>
                          <w:rFonts w:hint="eastAsia"/>
                          <w:b/>
                          <w:bCs/>
                          <w:sz w:val="24"/>
                        </w:rPr>
                        <w:t>較</w:t>
                      </w:r>
                    </w:p>
                  </w:txbxContent>
                </v:textbox>
              </v:shape>
            </w:pict>
          </mc:Fallback>
        </mc:AlternateContent>
      </w:r>
    </w:p>
    <w:p w14:paraId="56429FAA" w14:textId="77777777" w:rsidR="005F200F" w:rsidRPr="008735FB" w:rsidRDefault="005F200F" w:rsidP="005F200F">
      <w:pPr>
        <w:pStyle w:val="a9"/>
        <w:ind w:left="820"/>
        <w:rPr>
          <w:rFonts w:ascii="ＭＳ 明朝" w:hAnsi="ＭＳ 明朝"/>
        </w:rPr>
      </w:pPr>
    </w:p>
    <w:p w14:paraId="54F415FF" w14:textId="77777777" w:rsidR="005F200F" w:rsidRPr="008735FB" w:rsidRDefault="005F200F" w:rsidP="005F200F">
      <w:pPr>
        <w:pStyle w:val="a9"/>
        <w:ind w:leftChars="7" w:left="13"/>
        <w:rPr>
          <w:rFonts w:ascii="ＭＳ 明朝" w:hAnsi="ＭＳ 明朝"/>
        </w:rPr>
      </w:pPr>
      <w:r w:rsidRPr="008735FB">
        <w:rPr>
          <w:rFonts w:ascii="ＭＳ 明朝" w:hAnsi="ＭＳ 明朝"/>
          <w:noProof/>
        </w:rPr>
        <w:drawing>
          <wp:inline distT="0" distB="0" distL="0" distR="0" wp14:anchorId="47679168" wp14:editId="6B421DBE">
            <wp:extent cx="5759450" cy="4049395"/>
            <wp:effectExtent l="0" t="0" r="0" b="8255"/>
            <wp:docPr id="195535090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BE4A" w14:textId="77777777" w:rsidR="005F200F" w:rsidRPr="008735FB" w:rsidRDefault="005F200F" w:rsidP="005F200F">
      <w:pPr>
        <w:pStyle w:val="a9"/>
        <w:ind w:left="0"/>
        <w:rPr>
          <w:rFonts w:ascii="ＭＳ 明朝" w:hAnsi="ＭＳ 明朝"/>
        </w:rPr>
      </w:pPr>
    </w:p>
    <w:p w14:paraId="251CF0E1" w14:textId="77777777" w:rsidR="005F200F" w:rsidRPr="008735FB" w:rsidRDefault="005F200F" w:rsidP="005F200F">
      <w:pPr>
        <w:rPr>
          <w:rFonts w:ascii="ＭＳ 明朝" w:hAnsi="ＭＳ 明朝"/>
        </w:rPr>
      </w:pPr>
    </w:p>
    <w:p w14:paraId="6251B2F7" w14:textId="77777777" w:rsidR="005F200F" w:rsidRPr="008735FB" w:rsidRDefault="005F200F" w:rsidP="005F200F">
      <w:pPr>
        <w:rPr>
          <w:rFonts w:ascii="ＭＳ 明朝" w:hAnsi="ＭＳ 明朝"/>
        </w:rPr>
      </w:pPr>
    </w:p>
    <w:p w14:paraId="734B95A7" w14:textId="77777777" w:rsidR="005F200F" w:rsidRPr="008735FB" w:rsidRDefault="005F200F" w:rsidP="005F200F">
      <w:pPr>
        <w:rPr>
          <w:rFonts w:ascii="ＭＳ 明朝" w:hAnsi="ＭＳ 明朝"/>
        </w:rPr>
      </w:pPr>
    </w:p>
    <w:p w14:paraId="35B92566" w14:textId="77777777" w:rsidR="005F200F" w:rsidRPr="008735FB" w:rsidRDefault="005F200F" w:rsidP="005F200F">
      <w:pPr>
        <w:rPr>
          <w:rFonts w:ascii="ＭＳ 明朝" w:hAnsi="ＭＳ 明朝"/>
        </w:rPr>
      </w:pPr>
    </w:p>
    <w:p w14:paraId="1ADC8C1B" w14:textId="77777777" w:rsidR="005F200F" w:rsidRPr="008735FB" w:rsidRDefault="005F200F" w:rsidP="005F200F">
      <w:pPr>
        <w:rPr>
          <w:rFonts w:ascii="ＭＳ 明朝" w:hAnsi="ＭＳ 明朝"/>
        </w:rPr>
      </w:pPr>
    </w:p>
    <w:p w14:paraId="19F79751" w14:textId="77777777" w:rsidR="005F200F" w:rsidRPr="008735FB" w:rsidRDefault="005F200F" w:rsidP="005F200F">
      <w:pPr>
        <w:rPr>
          <w:rFonts w:ascii="ＭＳ 明朝" w:hAnsi="ＭＳ 明朝"/>
        </w:rPr>
      </w:pPr>
    </w:p>
    <w:p w14:paraId="4A74B80C" w14:textId="77777777" w:rsidR="005F200F" w:rsidRPr="008735FB" w:rsidRDefault="005F200F" w:rsidP="005F200F">
      <w:pPr>
        <w:rPr>
          <w:rFonts w:ascii="ＭＳ 明朝" w:hAnsi="ＭＳ 明朝"/>
        </w:rPr>
      </w:pPr>
    </w:p>
    <w:p w14:paraId="7AC571FB" w14:textId="77777777" w:rsidR="005F200F" w:rsidRPr="008735FB" w:rsidRDefault="005F200F" w:rsidP="005F200F">
      <w:pPr>
        <w:rPr>
          <w:rFonts w:ascii="ＭＳ 明朝" w:hAnsi="ＭＳ 明朝"/>
        </w:rPr>
      </w:pPr>
    </w:p>
    <w:p w14:paraId="03B2B149" w14:textId="77777777" w:rsidR="005F200F" w:rsidRPr="008735FB" w:rsidRDefault="005F200F" w:rsidP="005F200F">
      <w:pPr>
        <w:rPr>
          <w:rFonts w:ascii="ＭＳ 明朝" w:hAnsi="ＭＳ 明朝"/>
        </w:rPr>
      </w:pPr>
    </w:p>
    <w:p w14:paraId="7947DDCF" w14:textId="77777777" w:rsidR="005F200F" w:rsidRPr="008735FB" w:rsidRDefault="005F200F" w:rsidP="005F200F">
      <w:pPr>
        <w:rPr>
          <w:rFonts w:ascii="ＭＳ 明朝" w:hAnsi="ＭＳ 明朝"/>
        </w:rPr>
      </w:pPr>
    </w:p>
    <w:p w14:paraId="5515596A" w14:textId="77777777" w:rsidR="005F200F" w:rsidRPr="008735FB" w:rsidRDefault="005F200F" w:rsidP="005F200F">
      <w:pPr>
        <w:rPr>
          <w:rFonts w:ascii="ＭＳ 明朝" w:hAnsi="ＭＳ 明朝"/>
        </w:rPr>
      </w:pPr>
    </w:p>
    <w:p w14:paraId="2F14243B" w14:textId="77777777" w:rsidR="005F200F" w:rsidRPr="008735FB" w:rsidRDefault="005F200F" w:rsidP="005F200F">
      <w:pPr>
        <w:rPr>
          <w:rFonts w:ascii="ＭＳ 明朝" w:hAnsi="ＭＳ 明朝"/>
        </w:rPr>
      </w:pPr>
    </w:p>
    <w:p w14:paraId="32BEB46A" w14:textId="77777777" w:rsidR="005F200F" w:rsidRPr="008735FB" w:rsidRDefault="005F200F" w:rsidP="005F200F">
      <w:pPr>
        <w:rPr>
          <w:rFonts w:ascii="ＭＳ 明朝" w:hAnsi="ＭＳ 明朝"/>
        </w:rPr>
      </w:pPr>
    </w:p>
    <w:p w14:paraId="591C1D33" w14:textId="77777777" w:rsidR="005F200F" w:rsidRPr="008735FB" w:rsidRDefault="005F200F" w:rsidP="005F200F">
      <w:pPr>
        <w:pStyle w:val="a9"/>
        <w:widowControl/>
        <w:numPr>
          <w:ilvl w:val="0"/>
          <w:numId w:val="3"/>
        </w:numPr>
        <w:jc w:val="left"/>
        <w:rPr>
          <w:rFonts w:ascii="ＭＳ 明朝" w:hAnsi="ＭＳ 明朝"/>
        </w:rPr>
      </w:pPr>
      <w:r w:rsidRPr="008735FB">
        <w:rPr>
          <w:rFonts w:ascii="ＭＳ 明朝" w:hAnsi="ＭＳ 明朝" w:hint="eastAsia"/>
        </w:rPr>
        <w:lastRenderedPageBreak/>
        <w:t xml:space="preserve">　次のグラフは、表２の「平成12年度以上の項</w:t>
      </w:r>
      <w:r w:rsidRPr="008735FB">
        <w:rPr>
          <w:rFonts w:ascii="ＭＳ 明朝" w:hAnsi="ＭＳ 明朝" w:hint="eastAsia"/>
          <w:color w:val="000000"/>
        </w:rPr>
        <w:t>目」、「平成12年度を下回っ</w:t>
      </w:r>
      <w:r w:rsidRPr="008735FB">
        <w:rPr>
          <w:rFonts w:ascii="ＭＳ 明朝" w:hAnsi="ＭＳ 明朝" w:hint="eastAsia"/>
        </w:rPr>
        <w:t>ている項目」の割合を男女年齢別に表したものである。</w:t>
      </w:r>
    </w:p>
    <w:p w14:paraId="26990D70" w14:textId="77777777" w:rsidR="005F200F" w:rsidRPr="008735FB" w:rsidRDefault="005F200F" w:rsidP="005F200F">
      <w:pPr>
        <w:rPr>
          <w:rFonts w:ascii="ＭＳ 明朝" w:hAnsi="ＭＳ 明朝"/>
          <w:sz w:val="22"/>
          <w:szCs w:val="22"/>
        </w:rPr>
      </w:pPr>
    </w:p>
    <w:p w14:paraId="58A54858" w14:textId="77777777" w:rsidR="005F200F" w:rsidRPr="008735FB" w:rsidRDefault="005F200F" w:rsidP="005F200F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27BEF7E" wp14:editId="7A428B2A">
            <wp:simplePos x="0" y="0"/>
            <wp:positionH relativeFrom="column">
              <wp:posOffset>-150495</wp:posOffset>
            </wp:positionH>
            <wp:positionV relativeFrom="paragraph">
              <wp:posOffset>316230</wp:posOffset>
            </wp:positionV>
            <wp:extent cx="6061676" cy="4788000"/>
            <wp:effectExtent l="0" t="0" r="0" b="0"/>
            <wp:wrapSquare wrapText="bothSides"/>
            <wp:docPr id="528557335" name="図 105" descr="グラフ, 棒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57335" name="図 105" descr="グラフ, 棒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76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FB">
        <w:rPr>
          <w:rFonts w:ascii="ＭＳ 明朝" w:hAnsi="ＭＳ 明朝" w:hint="eastAsia"/>
          <w:sz w:val="22"/>
          <w:szCs w:val="22"/>
        </w:rPr>
        <w:t>（グラフ２）</w:t>
      </w:r>
    </w:p>
    <w:p w14:paraId="57D53CD2" w14:textId="77777777" w:rsidR="005F200F" w:rsidRPr="008735FB" w:rsidRDefault="005F200F" w:rsidP="005F200F">
      <w:pPr>
        <w:ind w:firstLineChars="87" w:firstLine="193"/>
        <w:jc w:val="center"/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5C959E" wp14:editId="67E4ADEE">
                <wp:simplePos x="0" y="0"/>
                <wp:positionH relativeFrom="margin">
                  <wp:align>right</wp:align>
                </wp:positionH>
                <wp:positionV relativeFrom="paragraph">
                  <wp:posOffset>5164455</wp:posOffset>
                </wp:positionV>
                <wp:extent cx="5752465" cy="1209675"/>
                <wp:effectExtent l="0" t="0" r="635" b="9525"/>
                <wp:wrapSquare wrapText="bothSides"/>
                <wp:docPr id="21" name="グループ化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C656A-D6E5-522D-CB49-385DC04596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1209675"/>
                          <a:chOff x="0" y="0"/>
                          <a:chExt cx="5752800" cy="2044800"/>
                        </a:xfrm>
                      </wpg:grpSpPr>
                      <wps:wsp>
                        <wps:cNvPr id="968555851" name="正方形/長方形 968555851">
                          <a:extLst>
                            <a:ext uri="{FF2B5EF4-FFF2-40B4-BE49-F238E27FC236}">
                              <a16:creationId xmlns:a16="http://schemas.microsoft.com/office/drawing/2014/main" id="{833053E8-7712-7CD9-3349-3E2EA71014F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752800" cy="2044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794445" name="四角形: 角を丸くする 37794445">
                          <a:extLst>
                            <a:ext uri="{FF2B5EF4-FFF2-40B4-BE49-F238E27FC236}">
                              <a16:creationId xmlns:a16="http://schemas.microsoft.com/office/drawing/2014/main" id="{0F25C5F8-9380-39A3-E5EC-91D7437CA84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133200" y="120282"/>
                            <a:ext cx="5486400" cy="1804235"/>
                          </a:xfrm>
                          <a:prstGeom prst="roundRect">
                            <a:avLst>
                              <a:gd name="adj" fmla="val 514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D7E12" w14:textId="77777777" w:rsidR="005F200F" w:rsidRDefault="005F200F" w:rsidP="005F200F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ascii="ＭＳ Ｐ明朝" w:eastAsia="ＭＳ Ｐ明朝" w:hAnsi="ＭＳ Ｐ明朝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全体では、「平成12年度以上の項目」の割合が78.0%(39/50)となっている。</w:t>
                              </w:r>
                            </w:p>
                            <w:p w14:paraId="7EFA62DC" w14:textId="77777777" w:rsidR="005F200F" w:rsidRPr="00F00DDF" w:rsidRDefault="005F200F" w:rsidP="005F200F">
                              <w:pPr>
                                <w:pStyle w:val="a9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ascii="ＭＳ Ｐ明朝" w:eastAsia="ＭＳ Ｐ明朝" w:hAnsi="ＭＳ Ｐ明朝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男女別では「平成12年度以上の項目」の割合が、男子では68.0%(17/25)、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女子は88.0%(22/25)となっている。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C959E" id="グループ化 20" o:spid="_x0000_s1028" style="position:absolute;left:0;text-align:left;margin-left:401.75pt;margin-top:406.65pt;width:452.95pt;height:95.25pt;z-index:251662336;mso-position-horizontal:right;mso-position-horizontal-relative:margin;mso-height-relative:margin" coordsize="57528,20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">
                <v:rect id="正方形/長方形 968555851" o:spid="_x0000_s1029" style="position:absolute;width:57528;height:20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" fillcolor="yellow" stroked="f" strokeweight="1pt"/>
                <v:roundrect id="四角形: 角を丸くする 37794445" o:spid="_x0000_s1030" style="position:absolute;left:1332;top:1202;width:54864;height:18043;visibility:visible;mso-wrap-style:square;v-text-anchor:middle" arcsize="33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" fillcolor="white [3212]" strokecolor="black [3213]" strokeweight="1pt">
                  <v:stroke joinstyle="miter"/>
                  <v:path arrowok="t"/>
                  <o:lock v:ext="edit" aspectratio="t"/>
                  <v:textbox>
                    <w:txbxContent>
                      <w:p w14:paraId="529D7E12" w14:textId="77777777" w:rsidR="005F200F" w:rsidRDefault="005F200F" w:rsidP="005F200F">
                        <w:pPr>
                          <w:pStyle w:val="a9"/>
                          <w:widowControl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ＭＳ Ｐ明朝" w:eastAsia="ＭＳ Ｐ明朝" w:hAnsi="ＭＳ Ｐ明朝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全体では、「平成12年度以上の項目」の割合が78.0%(39/50)となっている。</w:t>
                        </w:r>
                      </w:p>
                      <w:p w14:paraId="7EFA62DC" w14:textId="77777777" w:rsidR="005F200F" w:rsidRPr="00F00DDF" w:rsidRDefault="005F200F" w:rsidP="005F200F">
                        <w:pPr>
                          <w:pStyle w:val="a9"/>
                          <w:widowControl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ＭＳ Ｐ明朝" w:eastAsia="ＭＳ Ｐ明朝" w:hAnsi="ＭＳ Ｐ明朝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男女別では「平成12年度以上の項目」の割合が、男子では68.0%(17/25)、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女子は88.0%(22/25)となっている。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p w14:paraId="2A8B30DD" w14:textId="77777777" w:rsidR="005F200F" w:rsidRPr="008735FB" w:rsidRDefault="005F200F" w:rsidP="005F200F">
      <w:pPr>
        <w:ind w:firstLineChars="87" w:firstLine="193"/>
        <w:rPr>
          <w:rFonts w:ascii="ＭＳ 明朝" w:hAnsi="ＭＳ 明朝"/>
          <w:sz w:val="24"/>
        </w:rPr>
      </w:pPr>
    </w:p>
    <w:p w14:paraId="38DE4954" w14:textId="77777777" w:rsidR="005F200F" w:rsidRPr="008735FB" w:rsidRDefault="005F200F" w:rsidP="005F200F">
      <w:pPr>
        <w:ind w:firstLineChars="87" w:firstLine="193"/>
        <w:rPr>
          <w:rFonts w:ascii="ＭＳ 明朝" w:hAnsi="ＭＳ 明朝"/>
          <w:sz w:val="24"/>
        </w:rPr>
      </w:pPr>
    </w:p>
    <w:p w14:paraId="42AFFA73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7427ECEF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3AB980E4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79926C3D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014F4FF5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5ABB1DC7" w14:textId="77777777" w:rsidR="005F200F" w:rsidRDefault="005F200F" w:rsidP="005F200F">
      <w:pPr>
        <w:rPr>
          <w:rFonts w:ascii="ＭＳ 明朝" w:hAnsi="ＭＳ 明朝"/>
          <w:sz w:val="24"/>
        </w:rPr>
      </w:pPr>
    </w:p>
    <w:p w14:paraId="6B4B1A91" w14:textId="77777777" w:rsidR="00113A90" w:rsidRDefault="00113A90">
      <w:pPr>
        <w:rPr>
          <w:rFonts w:hint="eastAsia"/>
        </w:rPr>
      </w:pPr>
    </w:p>
    <w:sectPr w:rsidR="00113A90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num w:numId="1" w16cid:durableId="737441269">
    <w:abstractNumId w:val="0"/>
  </w:num>
  <w:num w:numId="2" w16cid:durableId="1971549577">
    <w:abstractNumId w:val="2"/>
  </w:num>
  <w:num w:numId="3" w16cid:durableId="81699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  <w:rsid w:val="005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2</cp:revision>
  <dcterms:created xsi:type="dcterms:W3CDTF">2025-03-18T00:24:00Z</dcterms:created>
  <dcterms:modified xsi:type="dcterms:W3CDTF">2025-03-18T00:24:00Z</dcterms:modified>
</cp:coreProperties>
</file>