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/>
          <w:color w:val="000000"/>
          <w:sz w:val="20"/>
        </w:rPr>
      </w:pPr>
      <w:bookmarkStart w:id="0" w:name="_GoBack"/>
      <w:bookmarkEnd w:id="0"/>
      <w:r>
        <w:rPr>
          <w:rFonts w:hint="eastAsia"/>
          <w:color w:val="000000"/>
          <w:sz w:val="20"/>
        </w:rPr>
        <w:t>様式第２－</w:t>
      </w:r>
      <w:r>
        <w:rPr>
          <w:rFonts w:hint="eastAsia"/>
          <w:sz w:val="20"/>
        </w:rPr>
        <w:t>６号</w:t>
      </w:r>
      <w:r>
        <w:rPr>
          <w:rFonts w:hint="eastAsia"/>
          <w:color w:val="000000"/>
          <w:sz w:val="20"/>
        </w:rPr>
        <w:t>（</w:t>
      </w:r>
      <w:r>
        <w:rPr>
          <w:rFonts w:hint="eastAsia" w:ascii="ＭＳ 明朝" w:hAnsi="ＭＳ 明朝"/>
          <w:color w:val="000000"/>
          <w:sz w:val="20"/>
        </w:rPr>
        <w:t>第３関係）</w:t>
      </w:r>
    </w:p>
    <w:p>
      <w:pPr>
        <w:pStyle w:val="0"/>
        <w:spacing w:line="280" w:lineRule="exact"/>
        <w:jc w:val="center"/>
        <w:rPr>
          <w:rFonts w:hint="default" w:ascii="ＭＳ 明朝" w:hAnsi="ＭＳ 明朝"/>
          <w:color w:val="000000"/>
          <w:spacing w:val="-10"/>
          <w:sz w:val="24"/>
        </w:rPr>
      </w:pPr>
      <w:r>
        <w:rPr>
          <w:rFonts w:hint="eastAsia" w:ascii="ＭＳ 明朝" w:hAnsi="ＭＳ 明朝"/>
          <w:color w:val="000000"/>
          <w:spacing w:val="-10"/>
          <w:sz w:val="24"/>
        </w:rPr>
        <w:t>肝炎治療受給者証（</w:t>
      </w:r>
      <w:r>
        <w:rPr>
          <w:rFonts w:hint="eastAsia" w:ascii="ＭＳ 明朝" w:hAnsi="ＭＳ 明朝"/>
          <w:spacing w:val="-10"/>
          <w:sz w:val="24"/>
        </w:rPr>
        <w:t>非代償性肝硬変を除くイ</w:t>
      </w:r>
      <w:r>
        <w:rPr>
          <w:rFonts w:hint="eastAsia" w:ascii="ＭＳ 明朝" w:hAnsi="ＭＳ 明朝"/>
          <w:color w:val="000000"/>
          <w:spacing w:val="-10"/>
          <w:sz w:val="24"/>
        </w:rPr>
        <w:t>ンターフェロンフリー治療）の交付申請に係る診断書（再治療）</w:t>
      </w:r>
    </w:p>
    <w:tbl>
      <w:tblPr>
        <w:tblStyle w:val="11"/>
        <w:tblW w:w="9836" w:type="dxa"/>
        <w:tblInd w:w="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64"/>
        <w:gridCol w:w="1943"/>
        <w:gridCol w:w="1276"/>
        <w:gridCol w:w="992"/>
        <w:gridCol w:w="4161"/>
      </w:tblGrid>
      <w:tr>
        <w:trPr>
          <w:cantSplit/>
          <w:trHeight w:val="210" w:hRule="atLeast"/>
        </w:trPr>
        <w:tc>
          <w:tcPr>
            <w:tcW w:w="146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ふりがな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患者氏名</w:t>
            </w:r>
          </w:p>
        </w:tc>
        <w:tc>
          <w:tcPr>
            <w:tcW w:w="321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性別</w:t>
            </w:r>
          </w:p>
        </w:tc>
        <w:tc>
          <w:tcPr>
            <w:tcW w:w="41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生年月日（年齢）</w:t>
            </w:r>
          </w:p>
        </w:tc>
      </w:tr>
      <w:tr>
        <w:trPr>
          <w:cantSplit/>
          <w:trHeight w:val="496" w:hRule="atLeast"/>
        </w:trPr>
        <w:tc>
          <w:tcPr>
            <w:tcW w:w="1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9" w:type="dxa"/>
            <w:gridSpan w:val="2"/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男・女</w:t>
            </w:r>
          </w:p>
        </w:tc>
        <w:tc>
          <w:tcPr>
            <w:tcW w:w="4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年　　　月　　　日生（満　　　歳）</w:t>
            </w:r>
          </w:p>
        </w:tc>
      </w:tr>
      <w:tr>
        <w:trPr>
          <w:cantSplit/>
          <w:trHeight w:val="362" w:hRule="atLeast"/>
        </w:trPr>
        <w:tc>
          <w:tcPr>
            <w:tcW w:w="1464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患者住所</w:t>
            </w:r>
          </w:p>
        </w:tc>
        <w:tc>
          <w:tcPr>
            <w:tcW w:w="837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〒　　　　－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240" w:lineRule="atLeast"/>
              <w:ind w:firstLine="3369" w:firstLineChars="2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電話番号　（　　　　）</w:t>
            </w:r>
          </w:p>
        </w:tc>
      </w:tr>
      <w:tr>
        <w:trPr>
          <w:cantSplit/>
          <w:trHeight w:val="707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診断年月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321" w:firstLineChars="20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　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26"/>
                <w:sz w:val="18"/>
                <w:fitText w:val="644" w:id="1"/>
              </w:rPr>
              <w:t>依頼</w:t>
            </w:r>
            <w:r>
              <w:rPr>
                <w:rFonts w:hint="eastAsia" w:ascii="ＭＳ 明朝" w:hAnsi="ＭＳ 明朝"/>
                <w:sz w:val="18"/>
                <w:fitText w:val="644" w:id="1"/>
              </w:rPr>
              <w:t>医</w:t>
            </w:r>
          </w:p>
          <w:p>
            <w:pPr>
              <w:pStyle w:val="0"/>
              <w:spacing w:line="240" w:lineRule="atLeas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（あれば記</w:t>
            </w:r>
          </w:p>
          <w:p>
            <w:pPr>
              <w:pStyle w:val="0"/>
              <w:spacing w:line="240" w:lineRule="atLeast"/>
              <w:ind w:firstLine="160" w:firstLineChars="10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載する。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5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医療機関名</w:t>
            </w:r>
          </w:p>
          <w:p>
            <w:pPr>
              <w:pStyle w:val="0"/>
              <w:spacing w:line="240" w:lineRule="atLeas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240" w:lineRule="atLeas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医師名</w:t>
            </w:r>
          </w:p>
        </w:tc>
      </w:tr>
      <w:tr>
        <w:trPr>
          <w:cantSplit/>
          <w:trHeight w:val="1541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過去の治療歴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該当する項目にチェックする。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　インターフェロン治療歴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</w:p>
          <w:p>
            <w:pPr>
              <w:pStyle w:val="0"/>
              <w:numPr>
                <w:ilvl w:val="0"/>
                <w:numId w:val="1"/>
              </w:numPr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インターフェロン治療歴あり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（チェックした場合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これまでの治療内容について該当項目を〇で囲む。）</w:t>
            </w:r>
          </w:p>
          <w:p>
            <w:pPr>
              <w:pStyle w:val="0"/>
              <w:spacing w:line="240" w:lineRule="atLeast"/>
              <w:ind w:firstLine="321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ア．ペグインターフェロン及びリバビリン併用療法（中止・再燃・無効）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イ．ペグインターフェロン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リバビリン及びプロテアーゼ阻害剤（薬剤名：　　　　　　　　　　　　　）</w:t>
            </w:r>
          </w:p>
          <w:p>
            <w:pPr>
              <w:pStyle w:val="0"/>
              <w:spacing w:line="240" w:lineRule="atLeast"/>
              <w:ind w:firstLine="642" w:firstLineChars="4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３剤併用療法（中止・再燃・無効）</w:t>
            </w:r>
          </w:p>
          <w:p>
            <w:pPr>
              <w:pStyle w:val="0"/>
              <w:spacing w:line="240" w:lineRule="atLeast"/>
              <w:ind w:firstLine="321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ウ．上記以外の治療（中止・再燃・無効）</w:t>
            </w:r>
          </w:p>
          <w:p>
            <w:pPr>
              <w:pStyle w:val="0"/>
              <w:spacing w:line="240" w:lineRule="atLeast"/>
              <w:ind w:left="160" w:hanging="16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4445</wp:posOffset>
                      </wp:positionV>
                      <wp:extent cx="5121275" cy="264795"/>
                      <wp:effectExtent l="635" t="635" r="29845" b="10795"/>
                      <wp:wrapNone/>
                      <wp:docPr id="1026" name="AutoShape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21275" cy="264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style="mso-position-vertical-relative:text;z-index:3;mso-wrap-distance-left:9pt;width:403.25pt;height:20.85pt;mso-position-horizontal-relative:text;position:absolute;margin-left:5.35pt;margin-top:0.35pt;mso-wrap-distance-bottom:0pt;mso-wrap-distance-right:9pt;mso-wrap-distance-top:0pt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 xml:space="preserve">   </w:t>
            </w:r>
            <w:r>
              <w:rPr>
                <w:rFonts w:hint="eastAsia" w:ascii="ＭＳ 明朝" w:hAnsi="ＭＳ 明朝"/>
                <w:sz w:val="18"/>
              </w:rPr>
              <w:t>具体的に記載：</w:t>
            </w:r>
          </w:p>
          <w:p>
            <w:pPr>
              <w:pStyle w:val="0"/>
              <w:spacing w:line="240" w:lineRule="atLeast"/>
              <w:ind w:left="160" w:hanging="16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</w:t>
            </w:r>
          </w:p>
          <w:p>
            <w:pPr>
              <w:pStyle w:val="0"/>
              <w:spacing w:line="240" w:lineRule="atLeast"/>
              <w:ind w:left="160" w:hanging="16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２　インターフェロンフリー治療歴</w:t>
            </w:r>
          </w:p>
          <w:p>
            <w:pPr>
              <w:pStyle w:val="0"/>
              <w:numPr>
                <w:ilvl w:val="0"/>
                <w:numId w:val="1"/>
              </w:numPr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インターフェロンフリー治療歴あり</w:t>
            </w:r>
          </w:p>
          <w:p>
            <w:pPr>
              <w:pStyle w:val="0"/>
              <w:spacing w:line="240" w:lineRule="atLeast"/>
              <w:ind w:firstLine="321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（薬剤名：　　　　　　　　　　　　　　　　　　　　　　　　　）（中止・再燃・無効）</w:t>
            </w:r>
          </w:p>
        </w:tc>
      </w:tr>
      <w:tr>
        <w:trPr>
          <w:cantSplit/>
          <w:trHeight w:val="3683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検査所見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今回の治療開始前の所見を記入する。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型肝炎ウイルスマーカー（検査日：　　　　　年　　　月　　　日）（該当するものを○で囲む。）</w:t>
            </w:r>
          </w:p>
          <w:p>
            <w:pPr>
              <w:pStyle w:val="0"/>
              <w:spacing w:line="240" w:lineRule="atLeast"/>
              <w:ind w:firstLine="8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(1)HCV</w:t>
            </w:r>
            <w:r>
              <w:rPr>
                <w:rFonts w:hint="eastAsia" w:ascii="ＭＳ 明朝" w:hAnsi="ＭＳ 明朝"/>
                <w:sz w:val="18"/>
              </w:rPr>
              <w:t>－</w:t>
            </w:r>
            <w:r>
              <w:rPr>
                <w:rFonts w:hint="eastAsia" w:ascii="ＭＳ 明朝" w:hAnsi="ＭＳ 明朝"/>
                <w:sz w:val="18"/>
              </w:rPr>
              <w:t>RNA</w:t>
            </w:r>
            <w:r>
              <w:rPr>
                <w:rFonts w:hint="eastAsia" w:ascii="ＭＳ 明朝" w:hAnsi="ＭＳ 明朝"/>
                <w:sz w:val="18"/>
              </w:rPr>
              <w:t>定量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 xml:space="preserve">         </w:t>
            </w:r>
            <w:r>
              <w:rPr>
                <w:rFonts w:hint="eastAsia" w:ascii="ＭＳ 明朝" w:hAnsi="ＭＳ 明朝"/>
                <w:sz w:val="18"/>
              </w:rPr>
              <w:t>LogIU/</w:t>
            </w:r>
            <w:r>
              <w:rPr>
                <w:rFonts w:hint="eastAsia" w:ascii="ＭＳ 明朝" w:hAnsi="ＭＳ 明朝"/>
                <w:sz w:val="18"/>
              </w:rPr>
              <w:t>ｍ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TaqMan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AccuGene</w:t>
            </w:r>
            <w:r>
              <w:rPr>
                <w:rFonts w:hint="eastAsia" w:ascii="ＭＳ 明朝" w:hAnsi="ＭＳ 明朝"/>
                <w:sz w:val="18"/>
              </w:rPr>
              <w:t>）</w:t>
            </w:r>
          </w:p>
          <w:p>
            <w:pPr>
              <w:pStyle w:val="0"/>
              <w:spacing w:line="240" w:lineRule="atLeast"/>
              <w:ind w:firstLine="8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(2)</w:t>
            </w:r>
            <w:r>
              <w:rPr>
                <w:rFonts w:hint="eastAsia" w:ascii="ＭＳ 明朝" w:hAnsi="ＭＳ 明朝"/>
                <w:sz w:val="18"/>
              </w:rPr>
              <w:t>ウイルス型　セログループ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・セログループ</w:t>
            </w: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・その他（　　　　　　　）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又は　ジェノタイプ（あれば記載する。）</w:t>
            </w:r>
            <w:r>
              <w:rPr>
                <w:rFonts w:hint="eastAsia" w:ascii="ＭＳ 明朝" w:hAnsi="ＭＳ 明朝"/>
                <w:sz w:val="18"/>
              </w:rPr>
              <w:t>1b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2a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2b</w:t>
            </w:r>
            <w:r>
              <w:rPr>
                <w:rFonts w:hint="eastAsia" w:ascii="ＭＳ 明朝" w:hAnsi="ＭＳ 明朝"/>
                <w:sz w:val="18"/>
              </w:rPr>
              <w:t>・その他（　　　　　　　）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2 </w:t>
            </w:r>
            <w:r>
              <w:rPr>
                <w:rFonts w:hint="eastAsia" w:ascii="ＭＳ 明朝" w:hAnsi="ＭＳ 明朝"/>
                <w:sz w:val="18"/>
              </w:rPr>
              <w:t>血液検査（検査日：　　　　　年　　　月　　　日）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>AST</w:t>
            </w:r>
            <w:r>
              <w:rPr>
                <w:rFonts w:hint="eastAsia" w:ascii="ＭＳ 明朝" w:hAnsi="ＭＳ 明朝"/>
                <w:sz w:val="18"/>
              </w:rPr>
              <w:t>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　　　　　白血球数　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mm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3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>ALT</w:t>
            </w:r>
            <w:r>
              <w:rPr>
                <w:rFonts w:hint="eastAsia" w:ascii="ＭＳ 明朝" w:hAnsi="ＭＳ 明朝"/>
                <w:sz w:val="18"/>
              </w:rPr>
              <w:t>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　　　　　ヘモグロビン濃度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g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dL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血小板数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×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４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mm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3</w:t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eastAsia" w:ascii="ＭＳ 明朝" w:hAnsi="ＭＳ 明朝"/>
                <w:sz w:val="18"/>
              </w:rPr>
              <w:t xml:space="preserve">  eGFR</w:t>
            </w:r>
            <w:r>
              <w:rPr>
                <w:rFonts w:hint="eastAsia" w:ascii="ＭＳ 明朝" w:hAnsi="ＭＳ 明朝"/>
                <w:sz w:val="18"/>
              </w:rPr>
              <w:t>　　　　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mL</w:t>
            </w:r>
            <w:r>
              <w:rPr>
                <w:rFonts w:hint="eastAsia" w:ascii="ＭＳ 明朝" w:hAnsi="ＭＳ 明朝"/>
                <w:sz w:val="18"/>
              </w:rPr>
              <w:t>／分／</w:t>
            </w:r>
            <w:r>
              <w:rPr>
                <w:rFonts w:hint="eastAsia" w:ascii="ＭＳ 明朝" w:hAnsi="ＭＳ 明朝"/>
                <w:sz w:val="18"/>
              </w:rPr>
              <w:t>1.73</w:t>
            </w:r>
            <w:r>
              <w:rPr>
                <w:rFonts w:hint="eastAsia" w:ascii="ＭＳ 明朝" w:hAnsi="ＭＳ 明朝"/>
                <w:sz w:val="18"/>
              </w:rPr>
              <w:t>ｍ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2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3 </w:t>
            </w:r>
            <w:r>
              <w:rPr>
                <w:rFonts w:hint="eastAsia" w:ascii="ＭＳ 明朝" w:hAnsi="ＭＳ 明朝"/>
                <w:sz w:val="18"/>
              </w:rPr>
              <w:t>画像診断及び肝生検などの所見（具体的に記載）（検査日：　　　　　年　　　月　　　日）</w:t>
            </w:r>
          </w:p>
          <w:p>
            <w:pPr>
              <w:pStyle w:val="0"/>
              <w:spacing w:line="240" w:lineRule="atLeast"/>
              <w:ind w:firstLine="16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-2540</wp:posOffset>
                      </wp:positionV>
                      <wp:extent cx="5187950" cy="314325"/>
                      <wp:effectExtent l="635" t="635" r="29845" b="10795"/>
                      <wp:wrapNone/>
                      <wp:docPr id="1027" name="AutoShap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2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8795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style="mso-position-vertical-relative:text;z-index:2;mso-wrap-distance-left:9pt;width:408.5pt;height:24.75pt;mso-position-horizontal-relative:text;position:absolute;margin-left:5.e-002pt;margin-top:-0.2pt;mso-wrap-distance-bottom:0pt;mso-wrap-distance-right:9pt;mso-wrap-distance-top:0pt;" o:spid="_x0000_s1027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所見：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4 </w:t>
            </w:r>
            <w:r>
              <w:rPr>
                <w:rFonts w:hint="eastAsia" w:ascii="ＭＳ 明朝" w:hAnsi="ＭＳ 明朝"/>
                <w:sz w:val="18"/>
              </w:rPr>
              <w:t>（肝硬変症の場合）</w:t>
            </w:r>
            <w:r>
              <w:rPr>
                <w:rFonts w:hint="eastAsia" w:ascii="ＭＳ 明朝" w:hAnsi="ＭＳ 明朝"/>
                <w:sz w:val="18"/>
              </w:rPr>
              <w:t>Child-Pugh</w:t>
            </w:r>
            <w:r>
              <w:rPr>
                <w:rFonts w:hint="eastAsia" w:ascii="ＭＳ 明朝" w:hAnsi="ＭＳ 明朝"/>
                <w:sz w:val="18"/>
              </w:rPr>
              <w:t>分類　　</w:t>
            </w:r>
            <w:r>
              <w:rPr>
                <w:rFonts w:hint="eastAsia" w:ascii="ＭＳ 明朝" w:hAnsi="ＭＳ 明朝"/>
                <w:sz w:val="18"/>
              </w:rPr>
              <w:t>A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B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（該当するものを○で囲む。）</w:t>
            </w:r>
          </w:p>
        </w:tc>
      </w:tr>
      <w:tr>
        <w:trPr>
          <w:cantSplit/>
          <w:trHeight w:val="868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診　　断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（該当する番号を○で囲む。）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1 </w:t>
            </w:r>
            <w:r>
              <w:rPr>
                <w:rFonts w:hint="eastAsia" w:ascii="ＭＳ 明朝" w:hAnsi="ＭＳ 明朝"/>
                <w:sz w:val="18"/>
              </w:rPr>
              <w:t>慢性肝炎　　　（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型肝炎ウイルスによる）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2 </w:t>
            </w:r>
            <w:r>
              <w:rPr>
                <w:rFonts w:hint="eastAsia" w:ascii="ＭＳ 明朝" w:hAnsi="ＭＳ 明朝"/>
                <w:sz w:val="18"/>
              </w:rPr>
              <w:t>代償性肝硬変　（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型肝炎ウイルスによる）※</w:t>
            </w:r>
            <w:r>
              <w:rPr>
                <w:rFonts w:hint="eastAsia" w:ascii="ＭＳ 明朝" w:hAnsi="ＭＳ 明朝"/>
                <w:sz w:val="18"/>
              </w:rPr>
              <w:t>Child-Pugh</w:t>
            </w:r>
            <w:r>
              <w:rPr>
                <w:rFonts w:hint="eastAsia" w:ascii="ＭＳ 明朝" w:hAnsi="ＭＳ 明朝"/>
                <w:sz w:val="18"/>
              </w:rPr>
              <w:t>分類</w:t>
            </w:r>
            <w:r>
              <w:rPr>
                <w:rFonts w:hint="eastAsia" w:ascii="ＭＳ 明朝" w:hAnsi="ＭＳ 明朝"/>
                <w:sz w:val="18"/>
              </w:rPr>
              <w:t>A</w:t>
            </w:r>
            <w:r>
              <w:rPr>
                <w:rFonts w:hint="eastAsia" w:ascii="ＭＳ 明朝" w:hAnsi="ＭＳ 明朝"/>
                <w:sz w:val="18"/>
              </w:rPr>
              <w:t>に限る。</w:t>
            </w:r>
          </w:p>
        </w:tc>
      </w:tr>
      <w:tr>
        <w:trPr>
          <w:cantSplit/>
          <w:trHeight w:val="552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本診断書作成時における肝がんの有無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１　有り　　　２　無し</w:t>
            </w:r>
          </w:p>
        </w:tc>
      </w:tr>
      <w:tr>
        <w:trPr>
          <w:trHeight w:val="818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治療内容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インターフェロンフリ－治療</w:t>
            </w:r>
          </w:p>
          <w:p>
            <w:pPr>
              <w:pStyle w:val="0"/>
              <w:spacing w:line="240" w:lineRule="atLeast"/>
              <w:ind w:left="190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（薬剤名：　　　　　　　　　　　　　　　　　　　　　　　　　　　　　　　）</w:t>
            </w:r>
          </w:p>
          <w:p>
            <w:pPr>
              <w:pStyle w:val="0"/>
              <w:spacing w:line="240" w:lineRule="atLeast"/>
              <w:ind w:left="190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治療予定期間　　　　　週　（　　　　　年　　　月　～　　　　　年　　　月）</w:t>
            </w:r>
          </w:p>
        </w:tc>
      </w:tr>
      <w:tr>
        <w:trPr>
          <w:trHeight w:val="818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本診断書を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作成する医師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インターフェロンフリー治療の再治療の場合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次のいずれかの項目にチェックがない場合は対象となりません。</w:t>
            </w:r>
          </w:p>
          <w:p>
            <w:pPr>
              <w:pStyle w:val="0"/>
              <w:spacing w:line="240" w:lineRule="atLeast"/>
              <w:ind w:firstLine="16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　肝疾患診療連携拠点病院に常勤する日本肝臓学会肝臓専門医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□　他の日本肝臓学会肝臓専門医又は日本消化器病学会専門医で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別紙意見書を添付している医師</w:t>
            </w:r>
          </w:p>
        </w:tc>
      </w:tr>
      <w:tr>
        <w:trPr>
          <w:trHeight w:val="584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治療上の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問題点等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965" w:hRule="atLeast"/>
        </w:trPr>
        <w:tc>
          <w:tcPr>
            <w:tcW w:w="9836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上記のとおり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以前とは異なるインターフェロンフリー治療薬による再治療を行う必要があると診断します。</w:t>
            </w:r>
          </w:p>
          <w:p>
            <w:pPr>
              <w:pStyle w:val="0"/>
              <w:spacing w:line="240" w:lineRule="atLeast"/>
              <w:ind w:firstLine="16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医療機関名及び所在地　　　　　　　　　　　　　　　　　　　　　　　　　　　　　記載年月日　　　　　　年　　月　　日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after="139" w:afterLines="50" w:afterAutospacing="0" w:line="240" w:lineRule="atLeast"/>
              <w:ind w:firstLine="8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専門医　氏名</w:t>
            </w:r>
          </w:p>
        </w:tc>
      </w:tr>
    </w:tbl>
    <w:p>
      <w:pPr>
        <w:pStyle w:val="0"/>
        <w:snapToGrid w:val="0"/>
        <w:spacing w:line="240" w:lineRule="atLeast"/>
        <w:ind w:left="471" w:leftChars="100" w:right="190" w:rightChars="100" w:hanging="281" w:hangingChars="2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※１　診断書は</w:t>
      </w:r>
      <w:r>
        <w:rPr>
          <w:rFonts w:hint="eastAsia" w:ascii="ＭＳ 明朝" w:hAnsi="ＭＳ 明朝" w:eastAsia="ＭＳ 明朝"/>
          <w:sz w:val="16"/>
        </w:rPr>
        <w:t>、</w:t>
      </w:r>
      <w:r>
        <w:rPr>
          <w:rFonts w:hint="eastAsia" w:ascii="ＭＳ 明朝" w:hAnsi="ＭＳ 明朝"/>
          <w:sz w:val="16"/>
        </w:rPr>
        <w:t>記載日から起算して３か月以内のものが有効となること。</w:t>
      </w:r>
    </w:p>
    <w:p>
      <w:pPr>
        <w:pStyle w:val="0"/>
        <w:snapToGrid w:val="0"/>
        <w:spacing w:line="240" w:lineRule="atLeast"/>
        <w:ind w:left="471" w:leftChars="100" w:right="190" w:rightChars="100" w:hanging="281" w:hangingChars="200"/>
        <w:jc w:val="lef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２　記載日前６か月以内（ただし</w:t>
      </w:r>
      <w:r>
        <w:rPr>
          <w:rFonts w:hint="eastAsia" w:ascii="ＭＳ 明朝" w:hAnsi="ＭＳ 明朝" w:eastAsia="ＭＳ 明朝"/>
          <w:sz w:val="16"/>
        </w:rPr>
        <w:t>、</w:t>
      </w:r>
      <w:r>
        <w:rPr>
          <w:rFonts w:hint="eastAsia" w:ascii="ＭＳ 明朝" w:hAnsi="ＭＳ 明朝"/>
          <w:sz w:val="16"/>
        </w:rPr>
        <w:t>インターフェロンフリー治療中の場合は治療開始時）の資料に基づいて記載すること。</w:t>
      </w:r>
    </w:p>
    <w:p>
      <w:pPr>
        <w:pStyle w:val="0"/>
        <w:snapToGrid w:val="0"/>
        <w:spacing w:line="240" w:lineRule="atLeast"/>
        <w:ind w:left="471" w:leftChars="100" w:right="190" w:rightChars="100" w:hanging="281" w:hangingChars="200"/>
        <w:jc w:val="lef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３　肝疾患診療支援ネットワーク体制以外の専門医療機関の肝臓専門医の診断書にあっては</w:t>
      </w:r>
      <w:r>
        <w:rPr>
          <w:rFonts w:hint="eastAsia" w:ascii="ＭＳ 明朝" w:hAnsi="ＭＳ 明朝" w:eastAsia="ＭＳ 明朝"/>
          <w:sz w:val="16"/>
        </w:rPr>
        <w:t>、</w:t>
      </w:r>
      <w:r>
        <w:rPr>
          <w:rFonts w:hint="eastAsia" w:ascii="ＭＳ 明朝" w:hAnsi="ＭＳ 明朝"/>
          <w:sz w:val="16"/>
        </w:rPr>
        <w:t>当該医療機関で治療する患者についてのみ作成すること。</w:t>
      </w:r>
    </w:p>
    <w:p>
      <w:pPr>
        <w:pStyle w:val="0"/>
        <w:snapToGrid w:val="0"/>
        <w:spacing w:line="240" w:lineRule="atLeast"/>
        <w:ind w:left="471" w:leftChars="100" w:right="190" w:rightChars="100" w:hanging="281" w:hangingChars="200"/>
        <w:jc w:val="left"/>
        <w:rPr>
          <w:rFonts w:hint="default"/>
        </w:rPr>
      </w:pPr>
      <w:r>
        <w:rPr>
          <w:rFonts w:hint="eastAsia" w:ascii="ＭＳ 明朝" w:hAnsi="ＭＳ 明朝"/>
          <w:sz w:val="16"/>
        </w:rPr>
        <w:t>　４　記入漏れのある場合は</w:t>
      </w:r>
      <w:r>
        <w:rPr>
          <w:rFonts w:hint="eastAsia" w:ascii="ＭＳ 明朝" w:hAnsi="ＭＳ 明朝" w:eastAsia="ＭＳ 明朝"/>
          <w:sz w:val="16"/>
        </w:rPr>
        <w:t>、</w:t>
      </w:r>
      <w:r>
        <w:rPr>
          <w:rFonts w:hint="eastAsia" w:ascii="ＭＳ 明朝" w:hAnsi="ＭＳ 明朝"/>
          <w:sz w:val="16"/>
        </w:rPr>
        <w:t>認定できないことがあるので</w:t>
      </w:r>
      <w:r>
        <w:rPr>
          <w:rFonts w:hint="eastAsia" w:ascii="ＭＳ 明朝" w:hAnsi="ＭＳ 明朝" w:eastAsia="ＭＳ 明朝"/>
          <w:sz w:val="16"/>
        </w:rPr>
        <w:t>、</w:t>
      </w:r>
      <w:r>
        <w:rPr>
          <w:rFonts w:hint="eastAsia" w:ascii="ＭＳ 明朝" w:hAnsi="ＭＳ 明朝"/>
          <w:sz w:val="16"/>
        </w:rPr>
        <w:t>注意するこ</w:t>
      </w:r>
      <w:r>
        <w:rPr>
          <w:rFonts w:hint="eastAsia" w:ascii="ＭＳ 明朝" w:hAnsi="ＭＳ 明朝"/>
          <w:color w:val="000000"/>
          <w:sz w:val="16"/>
        </w:rPr>
        <w:t>と</w:t>
      </w:r>
    </w:p>
    <w:sectPr>
      <w:footerReference r:id="rId6" w:type="even"/>
      <w:pgSz w:w="11906" w:h="16838"/>
      <w:pgMar w:top="454" w:right="851" w:bottom="454" w:left="851" w:header="851" w:footer="992" w:gutter="0"/>
      <w:cols w:space="720"/>
      <w:textDirection w:val="lrTb"/>
      <w:docGrid w:type="linesAndChars" w:linePitch="288" w:charSpace="-4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862A626"/>
    <w:lvl w:ilvl="0" w:tplc="52FE6C7A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44</Words>
  <Characters>1202</Characters>
  <Application>JUST Note</Application>
  <Lines>87</Lines>
  <Paragraphs>69</Paragraphs>
  <Company>広島県</Company>
  <CharactersWithSpaces>1534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2021-01-14T01:35:00Z</cp:lastPrinted>
  <dcterms:created xsi:type="dcterms:W3CDTF">2020-05-26T06:37:00Z</dcterms:created>
  <dcterms:modified xsi:type="dcterms:W3CDTF">2024-06-26T02:43:31Z</dcterms:modified>
  <cp:revision>6</cp:revision>
</cp:coreProperties>
</file>