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UD デジタル 教科書体 NP-R" w:hAnsi="UD デジタル 教科書体 NP-R" w:eastAsia="UD デジタル 教科書体 NP-R"/>
          <w:w w:val="200"/>
          <w:sz w:val="28"/>
        </w:rPr>
      </w:pPr>
      <w:bookmarkStart w:id="0" w:name="_GoBack"/>
      <w:bookmarkEnd w:id="0"/>
      <w:r>
        <w:rPr>
          <w:rFonts w:hint="eastAsia" w:ascii="UD デジタル 教科書体 NP-R" w:hAnsi="UD デジタル 教科書体 NP-R" w:eastAsia="UD デジタル 教科書体 NP-R"/>
          <w:w w:val="200"/>
          <w:sz w:val="28"/>
        </w:rPr>
        <w:t>ワークシート</w:t>
      </w:r>
    </w:p>
    <w:p>
      <w:pPr>
        <w:pStyle w:val="0"/>
        <w:rPr>
          <w:rFonts w:hint="default"/>
        </w:rPr>
      </w:pPr>
    </w:p>
    <w:p>
      <w:pPr>
        <w:pStyle w:val="0"/>
        <w:ind w:firstLine="223" w:firstLine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24"/>
        </w:rPr>
        <mc:AlternateContent>
          <mc:Choice Requires="wps">
            <w:drawing>
              <wp:anchor distT="0" distB="0" distL="114300" distR="114300" simplePos="0" relativeHeight="2" behindDoc="0" locked="0" layoutInCell="1" hidden="0" allowOverlap="1">
                <wp:simplePos x="0" y="0"/>
                <wp:positionH relativeFrom="column">
                  <wp:posOffset>146685</wp:posOffset>
                </wp:positionH>
                <wp:positionV relativeFrom="paragraph">
                  <wp:posOffset>302260</wp:posOffset>
                </wp:positionV>
                <wp:extent cx="6047740" cy="476250"/>
                <wp:effectExtent l="19685" t="19685" r="29845" b="20320"/>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6047740" cy="476250"/>
                        </a:xfrm>
                        <a:prstGeom prst="rect">
                          <a:avLst/>
                        </a:prstGeom>
                        <a:solidFill>
                          <a:schemeClr val="lt1"/>
                        </a:solidFill>
                        <a:ln w="28575" cap="rnd">
                          <a:solidFill>
                            <a:prstClr val="black"/>
                          </a:solidFill>
                          <a:prstDash val="sysDot"/>
                        </a:ln>
                      </wps:spPr>
                      <wps:txbx>
                        <w:txbxContent>
                          <w:p>
                            <w:pPr>
                              <w:pStyle w:val="0"/>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sz w:val="28"/>
                              </w:rPr>
                              <w:t>「社会に開かれた教育課程」でつなぐ中学校区の取組（三次市立三次中学校）</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476.2pt;height:37.5pt;mso-position-horizontal-relative:text;position:absolute;margin-left:11.55pt;margin-top:23.8pt;mso-wrap-distance-bottom:0pt;mso-wrap-distance-right:9pt;mso-wrap-distance-top:0pt;v-text-anchor:middle;" o:spid="_x0000_s1026" o:allowincell="t" o:allowoverlap="t" filled="t" fillcolor="#ffffff [3201]" stroked="t" strokecolor="#000000" strokeweight="2.25pt" o:spt="202" type="#_x0000_t202">
                <v:fill/>
                <v:stroke endcap="round" dashstyle="shortdot" filltype="solid"/>
                <v:textbox style="layout-flow:horizontal;">
                  <w:txbxContent>
                    <w:p>
                      <w:pPr>
                        <w:pStyle w:val="0"/>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sz w:val="28"/>
                        </w:rPr>
                        <w:t>「社会に開かれた教育課程」でつなぐ中学校区の取組（三次市立三次中学校）</w:t>
                      </w:r>
                    </w:p>
                  </w:txbxContent>
                </v:textbox>
                <v:imagedata o:title=""/>
                <w10:wrap type="none" anchorx="text" anchory="text"/>
              </v:shape>
            </w:pict>
          </mc:Fallback>
        </mc:AlternateContent>
      </w:r>
      <w:r>
        <w:rPr>
          <w:rFonts w:hint="eastAsia" w:ascii="UD デジタル 教科書体 NP-R" w:hAnsi="UD デジタル 教科書体 NP-R" w:eastAsia="UD デジタル 教科書体 NP-R"/>
          <w:sz w:val="24"/>
        </w:rPr>
        <w:t>視聴する動画</w:t>
      </w:r>
    </w:p>
    <w:p>
      <w:pPr>
        <w:pStyle w:val="0"/>
        <w:ind w:firstLine="193" w:firstLineChars="100"/>
        <w:rPr>
          <w:rFonts w:hint="default"/>
        </w:rPr>
      </w:pPr>
    </w:p>
    <w:p>
      <w:pPr>
        <w:pStyle w:val="0"/>
        <w:ind w:firstLine="193" w:firstLineChars="100"/>
        <w:rPr>
          <w:rFonts w:hint="default"/>
        </w:rPr>
      </w:pPr>
    </w:p>
    <w:p>
      <w:pPr>
        <w:pStyle w:val="0"/>
        <w:rPr>
          <w:rFonts w:hint="default" w:ascii="UD デジタル 教科書体 NP-R" w:hAnsi="UD デジタル 教科書体 NP-R" w:eastAsia="UD デジタル 教科書体 NP-R"/>
          <w:sz w:val="24"/>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137160</wp:posOffset>
                </wp:positionH>
                <wp:positionV relativeFrom="paragraph">
                  <wp:posOffset>342265</wp:posOffset>
                </wp:positionV>
                <wp:extent cx="6047740" cy="742950"/>
                <wp:effectExtent l="635" t="635" r="29845" b="1079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6047740" cy="742950"/>
                        </a:xfrm>
                        <a:prstGeom prst="rect">
                          <a:avLst/>
                        </a:prstGeom>
                        <a:solidFill>
                          <a:schemeClr val="lt1"/>
                        </a:solidFill>
                        <a:ln w="6350">
                          <a:solidFill>
                            <a:prstClr val="black"/>
                          </a:solidFill>
                        </a:ln>
                      </wps:spPr>
                      <wps:txbx>
                        <w:txbxContent>
                          <w:p>
                            <w:pPr>
                              <w:pStyle w:val="0"/>
                              <w:ind w:firstLine="203" w:firstLineChars="100"/>
                              <w:jc w:val="left"/>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color w:val="000000" w:themeColor="text1"/>
                                <w:sz w:val="22"/>
                              </w:rPr>
                              <w:t>キャリア教育を基軸として、育てたい資質・能力を共有した学校と地域との双方向の学びづくりの取組や、中学校区で取り組むコミュニティ・スクールの仕組みを活用したカリキュラムづくりについて学ぶことができ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3;mso-wrap-distance-left:9pt;width:476.2pt;height:58.5pt;mso-position-horizontal-relative:text;position:absolute;margin-left:10.8pt;margin-top:26.95pt;mso-wrap-distance-bottom:0pt;mso-wrap-distance-right:9pt;mso-wrap-distance-top:0pt;v-text-anchor:top;" o:spid="_x0000_s1027" o:allowincell="t" o:allowoverlap="t" filled="t" fillcolor="#ffffff [3201]" stroked="t" strokecolor="#000000" strokeweight="0.5pt" o:spt="202" type="#_x0000_t202">
                <v:fill/>
                <v:stroke filltype="solid"/>
                <v:textbox style="layout-flow:horizontal;">
                  <w:txbxContent>
                    <w:p>
                      <w:pPr>
                        <w:pStyle w:val="0"/>
                        <w:ind w:firstLine="203" w:firstLineChars="100"/>
                        <w:jc w:val="left"/>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color w:val="000000" w:themeColor="text1"/>
                          <w:sz w:val="22"/>
                        </w:rPr>
                        <w:t>キャリア教育を基軸として、育てたい資質・能力を共有した学校と地域との双方向の学びづくりの取組や、中学校区で取り組むコミュニティ・スクールの仕組みを活用したカリキュラムづくりについて学ぶことができます。</w:t>
                      </w:r>
                    </w:p>
                  </w:txbxContent>
                </v:textbox>
                <v:imagedata o:title=""/>
                <w10:wrap type="none" anchorx="text" anchory="text"/>
              </v:shape>
            </w:pict>
          </mc:Fallback>
        </mc:AlternateContent>
      </w:r>
      <w:r>
        <w:rPr>
          <w:rFonts w:hint="eastAsia"/>
        </w:rPr>
        <w:t>　</w:t>
      </w:r>
      <w:r>
        <w:rPr>
          <w:rFonts w:hint="eastAsia" w:ascii="UD デジタル 教科書体 NP-R" w:hAnsi="UD デジタル 教科書体 NP-R" w:eastAsia="UD デジタル 教科書体 NP-R"/>
          <w:sz w:val="24"/>
        </w:rPr>
        <w:t>動画で学べる視点</w:t>
      </w:r>
    </w:p>
    <w:p>
      <w:pPr>
        <w:pStyle w:val="0"/>
        <w:rPr>
          <w:rFonts w:hint="default"/>
        </w:rPr>
      </w:pPr>
      <w:r>
        <w:rPr>
          <w:rFonts w:hint="eastAsia"/>
        </w:rPr>
        <w:t>　</w:t>
      </w:r>
    </w:p>
    <w:p>
      <w:pPr>
        <w:pStyle w:val="0"/>
        <w:rPr>
          <w:rFonts w:hint="default"/>
        </w:rPr>
      </w:pPr>
    </w:p>
    <w:p>
      <w:pPr>
        <w:pStyle w:val="0"/>
        <w:rPr>
          <w:rFonts w:hint="eastAsia"/>
        </w:rPr>
      </w:pPr>
    </w:p>
    <w:p>
      <w:pPr>
        <w:pStyle w:val="0"/>
        <w:rPr>
          <w:rFonts w:hint="default"/>
        </w:rPr>
      </w:pPr>
    </w:p>
    <w:p>
      <w:pPr>
        <w:pStyle w:val="0"/>
        <w:ind w:firstLine="193" w:firstLineChars="100"/>
        <w:rPr>
          <w:rFonts w:hint="default"/>
        </w:rPr>
      </w:pPr>
    </w:p>
    <w:p>
      <w:pPr>
        <w:pStyle w:val="0"/>
        <w:ind w:firstLine="193" w:firstLineChars="100"/>
        <w:rPr>
          <w:rFonts w:hint="default" w:ascii="ＭＳ ゴシック" w:hAnsi="ＭＳ ゴシック" w:eastAsia="ＭＳ ゴシック"/>
        </w:rPr>
      </w:pPr>
      <w:r>
        <w:rPr>
          <w:rFonts w:hint="eastAsia" w:ascii="ＭＳ ゴシック" w:hAnsi="ＭＳ ゴシック" w:eastAsia="ＭＳ ゴシック"/>
        </w:rPr>
        <w:t>１　動画を視聴して、気付いたことを書きましょう。</w:t>
      </w:r>
    </w:p>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wp:posOffset>
                </wp:positionH>
                <wp:positionV relativeFrom="paragraph">
                  <wp:posOffset>47625</wp:posOffset>
                </wp:positionV>
                <wp:extent cx="6047740" cy="1343025"/>
                <wp:effectExtent l="635" t="635" r="29845" b="1079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6047740" cy="1343025"/>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4;mso-wrap-distance-left:9pt;width:476.2pt;height:105.75pt;mso-position-horizontal-relative:text;position:absolute;margin-left:11.55pt;margin-top:3.75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193" w:firstLineChars="100"/>
        <w:rPr>
          <w:rFonts w:hint="default" w:ascii="ＭＳ ゴシック" w:hAnsi="ＭＳ ゴシック" w:eastAsia="ＭＳ ゴシック"/>
        </w:rPr>
      </w:pPr>
      <w:r>
        <w:rPr>
          <w:rFonts w:hint="eastAsia" w:ascii="ＭＳ ゴシック" w:hAnsi="ＭＳ ゴシック" w:eastAsia="ＭＳ ゴシック"/>
        </w:rPr>
        <w:t>２　グループ協議〔協議テーマ：　　　　　　　　　　　　　　　　　　　　　　　　　　　　　　　　　　〕</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146685</wp:posOffset>
                </wp:positionH>
                <wp:positionV relativeFrom="paragraph">
                  <wp:posOffset>80645</wp:posOffset>
                </wp:positionV>
                <wp:extent cx="6047740" cy="2247900"/>
                <wp:effectExtent l="635" t="635" r="29845" b="1079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6047740" cy="2247900"/>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5;mso-wrap-distance-left:9pt;width:476.2pt;height:177pt;mso-position-horizontal-relative:text;position:absolute;margin-left:11.55pt;margin-top:6.35pt;mso-wrap-distance-bottom:0pt;mso-wrap-distance-right:9pt;mso-wrap-distance-top:0pt;v-text-anchor:top;" o:spid="_x0000_s1029"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193" w:firstLineChars="10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6" behindDoc="0" locked="0" layoutInCell="1" hidden="0" allowOverlap="1">
                <wp:simplePos x="0" y="0"/>
                <wp:positionH relativeFrom="column">
                  <wp:posOffset>146685</wp:posOffset>
                </wp:positionH>
                <wp:positionV relativeFrom="paragraph">
                  <wp:posOffset>302260</wp:posOffset>
                </wp:positionV>
                <wp:extent cx="6047740" cy="1000125"/>
                <wp:effectExtent l="635" t="635" r="29845" b="10795"/>
                <wp:wrapNone/>
                <wp:docPr id="1030" name="テキスト ボックス 1"/>
                <a:graphic xmlns:a="http://schemas.openxmlformats.org/drawingml/2006/main">
                  <a:graphicData uri="http://schemas.microsoft.com/office/word/2010/wordprocessingShape">
                    <wps:wsp>
                      <wps:cNvPr id="1030" name="テキスト ボックス 1"/>
                      <wps:cNvSpPr txBox="1"/>
                      <wps:spPr>
                        <a:xfrm>
                          <a:off x="0" y="0"/>
                          <a:ext cx="6047740" cy="1000125"/>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6;mso-wrap-distance-left:9pt;width:476.2pt;height:78.75pt;mso-position-horizontal-relative:text;position:absolute;margin-left:11.55pt;margin-top:23.8pt;mso-wrap-distance-bottom:0pt;mso-wrap-distance-right:9pt;mso-wrap-distance-top:0pt;v-text-anchor:top;" o:spid="_x0000_s1030"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ascii="ＭＳ ゴシック" w:hAnsi="ＭＳ ゴシック" w:eastAsia="ＭＳ ゴシック"/>
        </w:rPr>
        <w:t>３　研修のまとめ</w:t>
      </w:r>
    </w:p>
    <w:sectPr>
      <w:headerReference r:id="rId5" w:type="default"/>
      <w:pgSz w:w="11906" w:h="16838"/>
      <w:pgMar w:top="1531" w:right="1134" w:bottom="1134" w:left="1134" w:header="397" w:footer="851" w:gutter="0"/>
      <w:cols w:space="720"/>
      <w:textDirection w:val="lrTb"/>
      <w:docGrid w:type="linesAndChars" w:linePitch="345"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2"/>
      </w:rPr>
    </w:pPr>
    <w:r>
      <w:rPr>
        <w:rFonts w:hint="eastAsia"/>
        <w:sz w:val="24"/>
      </w:rPr>
      <w:drawing>
        <wp:anchor distT="0" distB="0" distL="114300" distR="114300" simplePos="0" relativeHeight="2" behindDoc="0" locked="0" layoutInCell="1" hidden="0" allowOverlap="1">
          <wp:simplePos x="0" y="0"/>
          <wp:positionH relativeFrom="margin">
            <wp:posOffset>3781425</wp:posOffset>
          </wp:positionH>
          <wp:positionV relativeFrom="paragraph">
            <wp:posOffset>13335</wp:posOffset>
          </wp:positionV>
          <wp:extent cx="2609850" cy="647700"/>
          <wp:effectExtent l="0" t="0" r="0" b="0"/>
          <wp:wrapNone/>
          <wp:docPr id="2049" name="図 105019789"/>
          <a:graphic xmlns:a="http://schemas.openxmlformats.org/drawingml/2006/main">
            <a:graphicData uri="http://schemas.openxmlformats.org/drawingml/2006/picture">
              <pic:pic xmlns:pic="http://schemas.openxmlformats.org/drawingml/2006/picture">
                <pic:nvPicPr>
                  <pic:cNvPr id="2049" name="図 105019789"/>
                  <pic:cNvPicPr/>
                </pic:nvPicPr>
                <pic:blipFill>
                  <a:blip r:embed="rId1"/>
                  <a:stretch>
                    <a:fillRect/>
                  </a:stretch>
                </pic:blipFill>
                <pic:spPr>
                  <a:xfrm>
                    <a:off x="0" y="0"/>
                    <a:ext cx="2609850" cy="647700"/>
                  </a:xfrm>
                  <a:prstGeom prst="rect">
                    <a:avLst/>
                  </a:prstGeom>
                </pic:spPr>
              </pic:pic>
            </a:graphicData>
          </a:graphic>
        </wp:anchor>
      </w:drawing>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_rels/header1.xml.rels><?xml version="1.0" encoding="UTF-8"?><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200</Characters>
  <Application>JUST Note</Application>
  <Lines>39</Lines>
  <Paragraphs>9</Paragraphs>
  <Company>Hiroshima Prefecture</Company>
  <CharactersWithSpaces>239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里本 佳子</dc:creator>
  <cp:lastModifiedBy>稲冨 裕美</cp:lastModifiedBy>
  <cp:lastPrinted>2024-02-05T07:07:00Z</cp:lastPrinted>
  <dcterms:created xsi:type="dcterms:W3CDTF">2024-02-05T08:10:00Z</dcterms:created>
  <dcterms:modified xsi:type="dcterms:W3CDTF">2025-03-05T01:13:08Z</dcterms:modified>
  <cp:revision>2</cp:revision>
</cp:coreProperties>
</file>