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UD デジタル 教科書体 NP-R" w:hAnsi="UD デジタル 教科書体 NP-R" w:eastAsia="UD デジタル 教科書体 NP-R"/>
          <w:w w:val="200"/>
          <w:sz w:val="28"/>
        </w:rPr>
      </w:pPr>
      <w:bookmarkStart w:id="0" w:name="_GoBack"/>
      <w:bookmarkEnd w:id="0"/>
      <w:r>
        <w:rPr>
          <w:rFonts w:hint="eastAsia" w:ascii="UD デジタル 教科書体 NP-R" w:hAnsi="UD デジタル 教科書体 NP-R" w:eastAsia="UD デジタル 教科書体 NP-R"/>
          <w:w w:val="200"/>
          <w:sz w:val="28"/>
        </w:rPr>
        <w:t>ワークシート</w:t>
      </w:r>
    </w:p>
    <w:p>
      <w:pPr>
        <w:pStyle w:val="0"/>
        <w:rPr>
          <w:rFonts w:hint="default"/>
        </w:rPr>
      </w:pPr>
    </w:p>
    <w:p>
      <w:pPr>
        <w:pStyle w:val="0"/>
        <w:ind w:firstLine="223" w:firstLineChars="100"/>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sz w:val="24"/>
        </w:rPr>
        <mc:AlternateContent>
          <mc:Choice Requires="wps">
            <w:drawing>
              <wp:anchor distT="0" distB="0" distL="114300" distR="114300" simplePos="0" relativeHeight="2" behindDoc="0" locked="0" layoutInCell="1" hidden="0" allowOverlap="1">
                <wp:simplePos x="0" y="0"/>
                <wp:positionH relativeFrom="column">
                  <wp:posOffset>146685</wp:posOffset>
                </wp:positionH>
                <wp:positionV relativeFrom="paragraph">
                  <wp:posOffset>302260</wp:posOffset>
                </wp:positionV>
                <wp:extent cx="6047740" cy="476250"/>
                <wp:effectExtent l="19685" t="19685" r="29845" b="20320"/>
                <wp:wrapNone/>
                <wp:docPr id="1026" name="テキスト ボックス 3"/>
                <a:graphic xmlns:a="http://schemas.openxmlformats.org/drawingml/2006/main">
                  <a:graphicData uri="http://schemas.microsoft.com/office/word/2010/wordprocessingShape">
                    <wps:wsp>
                      <wps:cNvPr id="1026" name="テキスト ボックス 3"/>
                      <wps:cNvSpPr txBox="1"/>
                      <wps:spPr>
                        <a:xfrm>
                          <a:off x="0" y="0"/>
                          <a:ext cx="6047740" cy="476250"/>
                        </a:xfrm>
                        <a:prstGeom prst="rect">
                          <a:avLst/>
                        </a:prstGeom>
                        <a:solidFill>
                          <a:schemeClr val="lt1"/>
                        </a:solidFill>
                        <a:ln w="28575" cap="rnd">
                          <a:solidFill>
                            <a:prstClr val="black"/>
                          </a:solidFill>
                          <a:prstDash val="sysDot"/>
                        </a:ln>
                      </wps:spPr>
                      <wps:txbx>
                        <w:txbxContent>
                          <w:p>
                            <w:pPr>
                              <w:pStyle w:val="0"/>
                              <w:rPr>
                                <w:rFonts w:hint="eastAsia" w:ascii="UD デジタル 教科書体 NP-R" w:hAnsi="UD デジタル 教科書体 NP-R" w:eastAsia="UD デジタル 教科書体 NP-R"/>
                                <w:sz w:val="28"/>
                              </w:rPr>
                            </w:pPr>
                            <w:r>
                              <w:rPr>
                                <w:rFonts w:hint="eastAsia" w:ascii="UD デジタル 教科書体 NP-R" w:hAnsi="UD デジタル 教科書体 NP-R" w:eastAsia="UD デジタル 教科書体 NP-R"/>
                                <w:b w:val="1"/>
                                <w:kern w:val="0"/>
                                <w:sz w:val="24"/>
                              </w:rPr>
                              <w:t>学校のカリキュラムと地域等の連携・協働の取組（日彰館高等学校）</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2;mso-wrap-distance-left:9pt;width:476.2pt;height:37.5pt;mso-position-horizontal-relative:text;position:absolute;margin-left:11.55pt;margin-top:23.8pt;mso-wrap-distance-bottom:0pt;mso-wrap-distance-right:9pt;mso-wrap-distance-top:0pt;v-text-anchor:middle;" o:spid="_x0000_s1026" o:allowincell="t" o:allowoverlap="t" filled="t" fillcolor="#ffffff [3201]" stroked="t" strokecolor="#000000" strokeweight="2.25pt" o:spt="202" type="#_x0000_t202">
                <v:fill/>
                <v:stroke endcap="round" dashstyle="shortdot" filltype="solid"/>
                <v:textbox style="layout-flow:horizontal;">
                  <w:txbxContent>
                    <w:p>
                      <w:pPr>
                        <w:pStyle w:val="0"/>
                        <w:rPr>
                          <w:rFonts w:hint="eastAsia" w:ascii="UD デジタル 教科書体 NP-R" w:hAnsi="UD デジタル 教科書体 NP-R" w:eastAsia="UD デジタル 教科書体 NP-R"/>
                          <w:sz w:val="28"/>
                        </w:rPr>
                      </w:pPr>
                      <w:r>
                        <w:rPr>
                          <w:rFonts w:hint="eastAsia" w:ascii="UD デジタル 教科書体 NP-R" w:hAnsi="UD デジタル 教科書体 NP-R" w:eastAsia="UD デジタル 教科書体 NP-R"/>
                          <w:b w:val="1"/>
                          <w:kern w:val="0"/>
                          <w:sz w:val="24"/>
                        </w:rPr>
                        <w:t>学校のカリキュラムと地域等の連携・協働の取組（日彰館高等学校）</w:t>
                      </w:r>
                    </w:p>
                  </w:txbxContent>
                </v:textbox>
                <v:imagedata o:title=""/>
                <w10:wrap type="none" anchorx="text" anchory="text"/>
              </v:shape>
            </w:pict>
          </mc:Fallback>
        </mc:AlternateContent>
      </w:r>
      <w:r>
        <w:rPr>
          <w:rFonts w:hint="eastAsia" w:ascii="UD デジタル 教科書体 NP-R" w:hAnsi="UD デジタル 教科書体 NP-R" w:eastAsia="UD デジタル 教科書体 NP-R"/>
          <w:sz w:val="24"/>
        </w:rPr>
        <w:t>視聴する動画</w:t>
      </w:r>
    </w:p>
    <w:p>
      <w:pPr>
        <w:pStyle w:val="0"/>
        <w:ind w:firstLine="193" w:firstLineChars="100"/>
        <w:rPr>
          <w:rFonts w:hint="default"/>
        </w:rPr>
      </w:pPr>
    </w:p>
    <w:p>
      <w:pPr>
        <w:pStyle w:val="0"/>
        <w:ind w:firstLine="193" w:firstLineChars="100"/>
        <w:rPr>
          <w:rFonts w:hint="default"/>
        </w:rPr>
      </w:pPr>
    </w:p>
    <w:p>
      <w:pPr>
        <w:pStyle w:val="0"/>
        <w:rPr>
          <w:rFonts w:hint="default" w:ascii="UD デジタル 教科書体 NP-R" w:hAnsi="UD デジタル 教科書体 NP-R" w:eastAsia="UD デジタル 教科書体 NP-R"/>
          <w:sz w:val="24"/>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137160</wp:posOffset>
                </wp:positionH>
                <wp:positionV relativeFrom="paragraph">
                  <wp:posOffset>342265</wp:posOffset>
                </wp:positionV>
                <wp:extent cx="6047740" cy="742950"/>
                <wp:effectExtent l="635" t="635" r="29845" b="10795"/>
                <wp:wrapNone/>
                <wp:docPr id="1027" name="テキスト ボックス 4"/>
                <a:graphic xmlns:a="http://schemas.openxmlformats.org/drawingml/2006/main">
                  <a:graphicData uri="http://schemas.microsoft.com/office/word/2010/wordprocessingShape">
                    <wps:wsp>
                      <wps:cNvPr id="1027" name="テキスト ボックス 4"/>
                      <wps:cNvSpPr txBox="1"/>
                      <wps:spPr>
                        <a:xfrm>
                          <a:off x="0" y="0"/>
                          <a:ext cx="6047740" cy="742950"/>
                        </a:xfrm>
                        <a:prstGeom prst="rect">
                          <a:avLst/>
                        </a:prstGeom>
                        <a:solidFill>
                          <a:schemeClr val="lt1"/>
                        </a:solidFill>
                        <a:ln w="6350">
                          <a:solidFill>
                            <a:prstClr val="black"/>
                          </a:solidFill>
                        </a:ln>
                      </wps:spPr>
                      <wps:txbx>
                        <w:txbxContent>
                          <w:p>
                            <w:pPr>
                              <w:pStyle w:val="0"/>
                              <w:ind w:firstLine="203" w:firstLineChars="100"/>
                              <w:jc w:val="left"/>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color w:val="000000" w:themeColor="text1"/>
                                <w:sz w:val="22"/>
                              </w:rPr>
                              <w:t>地域の高等学校として地域を支える人材を育成するために、学校と地域で協働した教育課程を編成しています。コミュニティ・スクールの仕組みを活用した協働体制の構築のポイントについて学ぶことができ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3;mso-wrap-distance-left:9pt;width:476.2pt;height:58.5pt;mso-position-horizontal-relative:text;position:absolute;margin-left:10.8pt;margin-top:26.95pt;mso-wrap-distance-bottom:0pt;mso-wrap-distance-right:9pt;mso-wrap-distance-top:0pt;v-text-anchor:top;" o:spid="_x0000_s1027" o:allowincell="t" o:allowoverlap="t" filled="t" fillcolor="#ffffff [3201]" stroked="t" strokecolor="#000000" strokeweight="0.5pt" o:spt="202" type="#_x0000_t202">
                <v:fill/>
                <v:stroke filltype="solid"/>
                <v:textbox style="layout-flow:horizontal;">
                  <w:txbxContent>
                    <w:p>
                      <w:pPr>
                        <w:pStyle w:val="0"/>
                        <w:ind w:firstLine="203" w:firstLineChars="100"/>
                        <w:jc w:val="left"/>
                        <w:rPr>
                          <w:rFonts w:hint="default"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color w:val="000000" w:themeColor="text1"/>
                          <w:sz w:val="22"/>
                        </w:rPr>
                        <w:t>地域の高等学校として地域を支える人材を育成するために、学校と地域で協働した教育課程を編成しています。コミュニティ・スクールの仕組みを活用した協働体制の構築のポイントについて学ぶことができます。</w:t>
                      </w:r>
                    </w:p>
                  </w:txbxContent>
                </v:textbox>
                <v:imagedata o:title=""/>
                <w10:wrap type="none" anchorx="text" anchory="text"/>
              </v:shape>
            </w:pict>
          </mc:Fallback>
        </mc:AlternateContent>
      </w:r>
      <w:r>
        <w:rPr>
          <w:rFonts w:hint="eastAsia"/>
        </w:rPr>
        <w:t>　</w:t>
      </w:r>
      <w:r>
        <w:rPr>
          <w:rFonts w:hint="eastAsia" w:ascii="UD デジタル 教科書体 NP-R" w:hAnsi="UD デジタル 教科書体 NP-R" w:eastAsia="UD デジタル 教科書体 NP-R"/>
          <w:sz w:val="24"/>
        </w:rPr>
        <w:t>動画で学べる視点</w:t>
      </w:r>
    </w:p>
    <w:p>
      <w:pPr>
        <w:pStyle w:val="0"/>
        <w:rPr>
          <w:rFonts w:hint="default"/>
        </w:rPr>
      </w:pPr>
      <w:r>
        <w:rPr>
          <w:rFonts w:hint="eastAsia"/>
        </w:rPr>
        <w:t>　</w:t>
      </w:r>
    </w:p>
    <w:p>
      <w:pPr>
        <w:pStyle w:val="0"/>
        <w:rPr>
          <w:rFonts w:hint="default"/>
        </w:rPr>
      </w:pPr>
    </w:p>
    <w:p>
      <w:pPr>
        <w:pStyle w:val="0"/>
        <w:rPr>
          <w:rFonts w:hint="eastAsia"/>
        </w:rPr>
      </w:pPr>
    </w:p>
    <w:p>
      <w:pPr>
        <w:pStyle w:val="0"/>
        <w:rPr>
          <w:rFonts w:hint="default"/>
        </w:rPr>
      </w:pPr>
    </w:p>
    <w:p>
      <w:pPr>
        <w:pStyle w:val="0"/>
        <w:ind w:firstLine="193" w:firstLineChars="100"/>
        <w:rPr>
          <w:rFonts w:hint="default"/>
        </w:rPr>
      </w:pPr>
    </w:p>
    <w:p>
      <w:pPr>
        <w:pStyle w:val="0"/>
        <w:ind w:firstLine="193" w:firstLineChars="100"/>
        <w:rPr>
          <w:rFonts w:hint="default" w:ascii="ＭＳ ゴシック" w:hAnsi="ＭＳ ゴシック" w:eastAsia="ＭＳ ゴシック"/>
        </w:rPr>
      </w:pPr>
      <w:r>
        <w:rPr>
          <w:rFonts w:hint="eastAsia" w:ascii="ＭＳ ゴシック" w:hAnsi="ＭＳ ゴシック" w:eastAsia="ＭＳ ゴシック"/>
        </w:rPr>
        <w:t>１　動画を視聴して、気付いたことを書きましょう。</w:t>
      </w:r>
    </w:p>
    <w:p>
      <w:pPr>
        <w:pStyle w:val="0"/>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146685</wp:posOffset>
                </wp:positionH>
                <wp:positionV relativeFrom="paragraph">
                  <wp:posOffset>47625</wp:posOffset>
                </wp:positionV>
                <wp:extent cx="6047740" cy="1343025"/>
                <wp:effectExtent l="635" t="635" r="29845" b="10795"/>
                <wp:wrapNone/>
                <wp:docPr id="1028" name="テキスト ボックス 1"/>
                <a:graphic xmlns:a="http://schemas.openxmlformats.org/drawingml/2006/main">
                  <a:graphicData uri="http://schemas.microsoft.com/office/word/2010/wordprocessingShape">
                    <wps:wsp>
                      <wps:cNvPr id="1028" name="テキスト ボックス 1"/>
                      <wps:cNvSpPr txBox="1"/>
                      <wps:spPr>
                        <a:xfrm>
                          <a:off x="0" y="0"/>
                          <a:ext cx="6047740" cy="1343025"/>
                        </a:xfrm>
                        <a:prstGeom prst="rect">
                          <a:avLst/>
                        </a:prstGeom>
                        <a:solidFill>
                          <a:schemeClr val="lt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4;mso-wrap-distance-left:9pt;width:476.2pt;height:105.75pt;mso-position-horizontal-relative:text;position:absolute;margin-left:11.55pt;margin-top:3.75pt;mso-wrap-distance-bottom:0pt;mso-wrap-distance-right:9pt;mso-wrap-distance-top:0pt;v-text-anchor:top;" o:spid="_x0000_s1028"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193" w:firstLineChars="100"/>
        <w:rPr>
          <w:rFonts w:hint="default" w:ascii="ＭＳ ゴシック" w:hAnsi="ＭＳ ゴシック" w:eastAsia="ＭＳ ゴシック"/>
        </w:rPr>
      </w:pPr>
      <w:r>
        <w:rPr>
          <w:rFonts w:hint="eastAsia" w:ascii="ＭＳ ゴシック" w:hAnsi="ＭＳ ゴシック" w:eastAsia="ＭＳ ゴシック"/>
        </w:rPr>
        <w:t>２　グループ協議〔協議テーマ：　　　　　　　　　　　　　　　　　　　　　　　　　　　　　　　　　　〕</w:t>
      </w: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146685</wp:posOffset>
                </wp:positionH>
                <wp:positionV relativeFrom="paragraph">
                  <wp:posOffset>80645</wp:posOffset>
                </wp:positionV>
                <wp:extent cx="6047740" cy="2247900"/>
                <wp:effectExtent l="635" t="635" r="29845" b="10795"/>
                <wp:wrapNone/>
                <wp:docPr id="1029" name="テキスト ボックス 1"/>
                <a:graphic xmlns:a="http://schemas.openxmlformats.org/drawingml/2006/main">
                  <a:graphicData uri="http://schemas.microsoft.com/office/word/2010/wordprocessingShape">
                    <wps:wsp>
                      <wps:cNvPr id="1029" name="テキスト ボックス 1"/>
                      <wps:cNvSpPr txBox="1"/>
                      <wps:spPr>
                        <a:xfrm>
                          <a:off x="0" y="0"/>
                          <a:ext cx="6047740" cy="2247900"/>
                        </a:xfrm>
                        <a:prstGeom prst="rect">
                          <a:avLst/>
                        </a:prstGeom>
                        <a:solidFill>
                          <a:schemeClr val="lt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5;mso-wrap-distance-left:9pt;width:476.2pt;height:177pt;mso-position-horizontal-relative:text;position:absolute;margin-left:11.55pt;margin-top:6.35pt;mso-wrap-distance-bottom:0pt;mso-wrap-distance-right:9pt;mso-wrap-distance-top:0pt;v-text-anchor:top;" o:spid="_x0000_s1029"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193" w:firstLineChars="100"/>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6" behindDoc="0" locked="0" layoutInCell="1" hidden="0" allowOverlap="1">
                <wp:simplePos x="0" y="0"/>
                <wp:positionH relativeFrom="column">
                  <wp:posOffset>146685</wp:posOffset>
                </wp:positionH>
                <wp:positionV relativeFrom="paragraph">
                  <wp:posOffset>302260</wp:posOffset>
                </wp:positionV>
                <wp:extent cx="6047740" cy="1000125"/>
                <wp:effectExtent l="635" t="635" r="29845" b="10795"/>
                <wp:wrapNone/>
                <wp:docPr id="1030" name="テキスト ボックス 1"/>
                <a:graphic xmlns:a="http://schemas.openxmlformats.org/drawingml/2006/main">
                  <a:graphicData uri="http://schemas.microsoft.com/office/word/2010/wordprocessingShape">
                    <wps:wsp>
                      <wps:cNvPr id="1030" name="テキスト ボックス 1"/>
                      <wps:cNvSpPr txBox="1"/>
                      <wps:spPr>
                        <a:xfrm>
                          <a:off x="0" y="0"/>
                          <a:ext cx="6047740" cy="1000125"/>
                        </a:xfrm>
                        <a:prstGeom prst="rect">
                          <a:avLst/>
                        </a:prstGeom>
                        <a:solidFill>
                          <a:schemeClr val="lt1"/>
                        </a:solidFill>
                        <a:ln w="6350">
                          <a:solidFill>
                            <a:prstClr val="black"/>
                          </a:solidFill>
                        </a:ln>
                      </wps:spPr>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6;mso-wrap-distance-left:9pt;width:476.2pt;height:78.75pt;mso-position-horizontal-relative:text;position:absolute;margin-left:11.55pt;margin-top:23.8pt;mso-wrap-distance-bottom:0pt;mso-wrap-distance-right:9pt;mso-wrap-distance-top:0pt;v-text-anchor:top;" o:spid="_x0000_s1030"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ascii="ＭＳ ゴシック" w:hAnsi="ＭＳ ゴシック" w:eastAsia="ＭＳ ゴシック"/>
        </w:rPr>
        <w:t>３　研修のまとめ</w:t>
      </w:r>
    </w:p>
    <w:sectPr>
      <w:headerReference r:id="rId5" w:type="default"/>
      <w:pgSz w:w="11906" w:h="16838"/>
      <w:pgMar w:top="1531" w:right="1134" w:bottom="1134" w:left="1134" w:header="397" w:footer="851" w:gutter="0"/>
      <w:cols w:space="720"/>
      <w:textDirection w:val="lrTb"/>
      <w:docGrid w:type="linesAndChars" w:linePitch="345"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UD デジタル 教科書体 NP-R">
    <w:panose1 w:val="000008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2"/>
      </w:rPr>
    </w:pPr>
    <w:r>
      <w:rPr>
        <w:rFonts w:hint="eastAsia"/>
        <w:sz w:val="24"/>
      </w:rPr>
      <w:drawing>
        <wp:anchor distT="0" distB="0" distL="114300" distR="114300" simplePos="0" relativeHeight="2" behindDoc="0" locked="0" layoutInCell="1" hidden="0" allowOverlap="1">
          <wp:simplePos x="0" y="0"/>
          <wp:positionH relativeFrom="margin">
            <wp:posOffset>3781425</wp:posOffset>
          </wp:positionH>
          <wp:positionV relativeFrom="paragraph">
            <wp:posOffset>13335</wp:posOffset>
          </wp:positionV>
          <wp:extent cx="2609850" cy="647700"/>
          <wp:effectExtent l="0" t="0" r="0" b="0"/>
          <wp:wrapNone/>
          <wp:docPr id="2049" name="図 105019789"/>
          <a:graphic xmlns:a="http://schemas.openxmlformats.org/drawingml/2006/main">
            <a:graphicData uri="http://schemas.openxmlformats.org/drawingml/2006/picture">
              <pic:pic xmlns:pic="http://schemas.openxmlformats.org/drawingml/2006/picture">
                <pic:nvPicPr>
                  <pic:cNvPr id="2049" name="図 105019789"/>
                  <pic:cNvPicPr/>
                </pic:nvPicPr>
                <pic:blipFill>
                  <a:blip r:embed="rId1"/>
                  <a:stretch>
                    <a:fillRect/>
                  </a:stretch>
                </pic:blipFill>
                <pic:spPr>
                  <a:xfrm>
                    <a:off x="0" y="0"/>
                    <a:ext cx="2609850" cy="647700"/>
                  </a:xfrm>
                  <a:prstGeom prst="rect">
                    <a:avLst/>
                  </a:prstGeom>
                </pic:spPr>
              </pic:pic>
            </a:graphicData>
          </a:graphic>
        </wp:anchor>
      </w:drawing>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34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_rels/header1.xml.rels><?xml version="1.0" encoding="UTF-8"?><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192</Characters>
  <Application>JUST Note</Application>
  <Lines>39</Lines>
  <Paragraphs>9</Paragraphs>
  <Company>Hiroshima Prefecture</Company>
  <CharactersWithSpaces>231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里本 佳子</dc:creator>
  <cp:lastModifiedBy>稲冨 裕美</cp:lastModifiedBy>
  <cp:lastPrinted>2024-02-05T07:07:00Z</cp:lastPrinted>
  <dcterms:created xsi:type="dcterms:W3CDTF">2024-02-05T08:11:00Z</dcterms:created>
  <dcterms:modified xsi:type="dcterms:W3CDTF">2025-03-05T01:26:16Z</dcterms:modified>
  <cp:revision>2</cp:revision>
</cp:coreProperties>
</file>