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u w:val="single"/>
        </w:rPr>
        <w:t>マイナ保険証利用解除について</w:t>
      </w:r>
    </w:p>
    <w:p>
      <w:pPr>
        <w:pStyle w:val="0"/>
        <w:rPr>
          <w:rFonts w:hint="default"/>
        </w:rPr>
      </w:pPr>
    </w:p>
    <w:p>
      <w:pPr>
        <w:pStyle w:val="0"/>
        <w:ind w:firstLine="220" w:firstLineChars="100"/>
        <w:rPr>
          <w:rFonts w:hint="default" w:ascii="ＭＳ 明朝" w:hAnsi="ＭＳ 明朝"/>
        </w:rPr>
      </w:pPr>
      <w:r>
        <w:rPr>
          <w:rFonts w:hint="eastAsia" w:ascii="ＭＳ 明朝" w:hAnsi="ＭＳ 明朝"/>
        </w:rPr>
        <w:t>令和</w:t>
      </w:r>
      <w:r>
        <w:rPr>
          <w:rFonts w:hint="eastAsia" w:ascii="ＭＳ 明朝" w:hAnsi="ＭＳ 明朝"/>
        </w:rPr>
        <w:t>6</w:t>
      </w:r>
      <w:r>
        <w:rPr>
          <w:rFonts w:hint="eastAsia" w:ascii="ＭＳ 明朝" w:hAnsi="ＭＳ 明朝"/>
        </w:rPr>
        <w:t>年</w:t>
      </w:r>
      <w:r>
        <w:rPr>
          <w:rFonts w:hint="eastAsia" w:ascii="ＭＳ 明朝" w:hAnsi="ＭＳ 明朝"/>
        </w:rPr>
        <w:t>12</w:t>
      </w:r>
      <w:r>
        <w:rPr>
          <w:rFonts w:hint="eastAsia" w:ascii="ＭＳ 明朝" w:hAnsi="ＭＳ 明朝"/>
        </w:rPr>
        <w:t>月</w:t>
      </w:r>
      <w:r>
        <w:rPr>
          <w:rFonts w:hint="eastAsia" w:ascii="ＭＳ 明朝" w:hAnsi="ＭＳ 明朝"/>
        </w:rPr>
        <w:t>2</w:t>
      </w:r>
      <w:r>
        <w:rPr>
          <w:rFonts w:hint="eastAsia" w:ascii="ＭＳ 明朝" w:hAnsi="ＭＳ 明朝"/>
        </w:rPr>
        <w:t>日に現行の組合員証及び被扶養者証（現保険証）の新規発行が終了し、マイナ保険証（健康保険証として使えるように登録してあるマイナンバーカードのこと）による医療機関等の受診を基本とする仕組みに移行されます。</w:t>
      </w:r>
    </w:p>
    <w:p>
      <w:pPr>
        <w:pStyle w:val="0"/>
        <w:ind w:firstLine="220" w:firstLineChars="100"/>
        <w:rPr>
          <w:rFonts w:hint="default"/>
        </w:rPr>
      </w:pPr>
      <w:r>
        <w:rPr>
          <w:rFonts w:hint="eastAsia" w:ascii="ＭＳ 明朝" w:hAnsi="ＭＳ 明朝"/>
        </w:rPr>
        <w:t>その一方で、マイナンバーカードの健康保険証利用登録は任意の手続きであることを踏まえ、マイナ保険証の利用登録の解除を希望する方については、医療保険者（当組合）に申請することにより、利用登録を解除することができることとされました。</w:t>
      </w:r>
    </w:p>
    <w:p>
      <w:pPr>
        <w:pStyle w:val="0"/>
        <w:ind w:firstLine="220" w:firstLineChars="100"/>
        <w:rPr>
          <w:rFonts w:hint="default"/>
        </w:rPr>
      </w:pPr>
      <w:r>
        <w:rPr>
          <w:rFonts w:hint="eastAsia"/>
        </w:rPr>
        <w:t>つきましては、利用登録の解除にあたっては、現行の保険証は令和７年</w:t>
      </w:r>
      <w:r>
        <w:rPr>
          <w:rFonts w:hint="eastAsia"/>
        </w:rPr>
        <w:t>12</w:t>
      </w:r>
      <w:r>
        <w:rPr>
          <w:rFonts w:hint="eastAsia"/>
        </w:rPr>
        <w:t>月１日まで利用できること並びに利用登録を解除するとマイナンバーカードによりオンライン資格確認等を行うことはできなくなることを十分ご留意のうえ、申請をお願</w:t>
      </w:r>
      <w:bookmarkStart w:id="0" w:name="_GoBack"/>
      <w:bookmarkEnd w:id="0"/>
      <w:r>
        <w:rPr>
          <w:rFonts w:hint="eastAsia"/>
        </w:rPr>
        <w:t>いします。</w:t>
      </w:r>
    </w:p>
    <w:p>
      <w:pPr>
        <w:pStyle w:val="0"/>
        <w:ind w:firstLine="220" w:firstLineChars="100"/>
        <w:rPr>
          <w:rFonts w:hint="default"/>
        </w:rPr>
      </w:pPr>
      <w:r>
        <w:rPr>
          <w:rFonts w:hint="eastAsia"/>
        </w:rPr>
        <w:t>なお、利用登録の解除は、以下の手順での手続きになります。</w:t>
      </w:r>
    </w:p>
    <w:p>
      <w:pPr>
        <w:pStyle w:val="0"/>
        <w:rPr>
          <w:rFonts w:hint="default"/>
        </w:rPr>
      </w:pPr>
    </w:p>
    <w:p>
      <w:pPr>
        <w:pStyle w:val="0"/>
        <w:rPr>
          <w:rFonts w:hint="default"/>
        </w:rPr>
      </w:pPr>
      <w:r>
        <w:rPr>
          <w:rFonts w:hint="eastAsia"/>
        </w:rPr>
        <w:t>１．マイナンバーカードの健康保険証利用登録の解除申請書を共済組合へ提出</w:t>
      </w:r>
    </w:p>
    <w:p>
      <w:pPr>
        <w:pStyle w:val="0"/>
        <w:rPr>
          <w:rFonts w:hint="default"/>
        </w:rPr>
      </w:pPr>
    </w:p>
    <w:p>
      <w:pPr>
        <w:pStyle w:val="0"/>
        <w:rPr>
          <w:rFonts w:hint="default"/>
        </w:rPr>
      </w:pPr>
      <w:r>
        <w:rPr>
          <w:rFonts w:hint="eastAsia"/>
        </w:rPr>
        <w:t>２．共済組合が交付する資格確認書の受け取り</w:t>
      </w:r>
    </w:p>
    <w:p>
      <w:pPr>
        <w:pStyle w:val="0"/>
        <w:ind w:left="220" w:leftChars="100" w:firstLine="220" w:firstLineChars="100"/>
        <w:rPr>
          <w:rFonts w:hint="default"/>
        </w:rPr>
      </w:pPr>
      <w:r>
        <w:rPr>
          <w:rFonts w:hint="eastAsia"/>
        </w:rPr>
        <w:t>マイナンバーカードの健康保険証利用登録の解除申請書を共済組合が受理後、１週間程度で当組合より資格確認書を所属を経由して交付します。（任意継続組合員の方は自宅に送ります。）</w:t>
      </w:r>
    </w:p>
    <w:p>
      <w:pPr>
        <w:pStyle w:val="0"/>
        <w:ind w:left="440" w:leftChars="100" w:hanging="220" w:hangingChars="100"/>
        <w:rPr>
          <w:rFonts w:hint="default"/>
        </w:rPr>
      </w:pPr>
      <w:r>
        <w:rPr>
          <w:rFonts w:hint="eastAsia"/>
        </w:rPr>
        <w:t>※　資格確認書は令和６年</w:t>
      </w:r>
      <w:r>
        <w:rPr>
          <w:rFonts w:hint="eastAsia" w:ascii="ＭＳ 明朝" w:hAnsi="ＭＳ 明朝"/>
        </w:rPr>
        <w:t>12</w:t>
      </w:r>
      <w:r>
        <w:rPr>
          <w:rFonts w:hint="eastAsia" w:ascii="ＭＳ 明朝" w:hAnsi="ＭＳ 明朝"/>
        </w:rPr>
        <w:t>月</w:t>
      </w:r>
      <w:r>
        <w:rPr>
          <w:rFonts w:hint="eastAsia"/>
        </w:rPr>
        <w:t>１日以前に交付することはできません。令和６年</w:t>
      </w:r>
      <w:r>
        <w:rPr>
          <w:rFonts w:hint="eastAsia" w:ascii="ＭＳ 明朝" w:hAnsi="ＭＳ 明朝"/>
        </w:rPr>
        <w:t>12</w:t>
      </w:r>
      <w:r>
        <w:rPr>
          <w:rFonts w:hint="eastAsia"/>
        </w:rPr>
        <w:t>月２日以降、解除申請書を受領後に順次資格確認書を交付します。</w:t>
      </w:r>
    </w:p>
    <w:p>
      <w:pPr>
        <w:pStyle w:val="0"/>
        <w:rPr>
          <w:rFonts w:hint="default"/>
        </w:rPr>
      </w:pPr>
    </w:p>
    <w:p>
      <w:pPr>
        <w:pStyle w:val="0"/>
        <w:rPr>
          <w:rFonts w:hint="default"/>
        </w:rPr>
      </w:pPr>
      <w:r>
        <w:rPr>
          <w:rFonts w:hint="eastAsia"/>
        </w:rPr>
        <w:t>３．中間サーバーへの解除申請者の情報の登録（共済組合が行います。）</w:t>
      </w:r>
    </w:p>
    <w:p>
      <w:pPr>
        <w:pStyle w:val="0"/>
        <w:rPr>
          <w:rFonts w:hint="default"/>
        </w:rPr>
      </w:pPr>
    </w:p>
    <w:p>
      <w:pPr>
        <w:pStyle w:val="0"/>
        <w:rPr>
          <w:rFonts w:hint="default"/>
        </w:rPr>
      </w:pPr>
      <w:r>
        <w:rPr>
          <w:rFonts w:hint="eastAsia"/>
        </w:rPr>
        <w:t>４．利用登録が解除されたことの確認（申請者が行います。）</w:t>
      </w:r>
    </w:p>
    <w:p>
      <w:pPr>
        <w:pStyle w:val="0"/>
        <w:ind w:left="220" w:leftChars="100" w:firstLine="220" w:firstLineChars="100"/>
        <w:rPr>
          <w:rFonts w:hint="default"/>
        </w:rPr>
      </w:pPr>
      <w:r>
        <w:rPr>
          <w:rFonts w:hint="eastAsia"/>
        </w:rPr>
        <w:t>解除申請書（記載内容等に不備がないものに限る）を当組合が受理後１～２か月で利用登録が解除されますので、マイナポータル上の「健康保険証利用登録の申込状況」画面でご確認ください。</w:t>
      </w:r>
    </w:p>
    <w:p>
      <w:pPr>
        <w:pStyle w:val="0"/>
        <w:rPr>
          <w:rFonts w:hint="default"/>
        </w:rPr>
      </w:pPr>
      <w:r>
        <w:rPr>
          <w:rFonts w:hint="default"/>
        </w:rPr>
        <w:br w:type="page"/>
      </w:r>
    </w:p>
    <w:p>
      <w:pPr>
        <w:pStyle w:val="0"/>
        <w:rPr>
          <w:rFonts w:hint="default"/>
        </w:rPr>
      </w:pPr>
      <w:r>
        <w:rPr>
          <w:rFonts w:hint="eastAsia"/>
        </w:rPr>
        <w:drawing>
          <wp:inline distT="0" distB="0" distL="0" distR="0">
            <wp:extent cx="6188710" cy="8707120"/>
            <wp:effectExtent l="0" t="0" r="0" b="0"/>
            <wp:docPr id="1026" name="Picture 51"/>
            <a:graphic xmlns:a="http://schemas.openxmlformats.org/drawingml/2006/main">
              <a:graphicData uri="http://schemas.openxmlformats.org/drawingml/2006/picture">
                <pic:pic xmlns:pic="http://schemas.openxmlformats.org/drawingml/2006/picture">
                  <pic:nvPicPr>
                    <pic:cNvPr id="1026" name="Picture 51"/>
                    <pic:cNvPicPr>
                      <a:picLocks noChangeAspect="1" noChangeArrowheads="1"/>
                    </pic:cNvPicPr>
                  </pic:nvPicPr>
                  <pic:blipFill>
                    <a:blip r:embed="rId5"/>
                    <a:stretch>
                      <a:fillRect/>
                    </a:stretch>
                  </pic:blipFill>
                  <pic:spPr>
                    <a:xfrm>
                      <a:off x="0" y="0"/>
                      <a:ext cx="6188710" cy="8707120"/>
                    </a:xfrm>
                    <a:prstGeom prst="rect">
                      <a:avLst/>
                    </a:prstGeom>
                    <a:noFill/>
                    <a:ln>
                      <a:noFill/>
                    </a:ln>
                  </pic:spPr>
                </pic:pic>
              </a:graphicData>
            </a:graphic>
          </wp:inline>
        </w:drawing>
      </w:r>
    </w:p>
    <w:p>
      <w:pPr>
        <w:pStyle w:val="0"/>
        <w:rPr>
          <w:rFonts w:hint="eastAsia"/>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4743450</wp:posOffset>
                </wp:positionH>
                <wp:positionV relativeFrom="paragraph">
                  <wp:posOffset>-514350</wp:posOffset>
                </wp:positionV>
                <wp:extent cx="1152525" cy="723900"/>
                <wp:effectExtent l="0" t="0" r="635" b="63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1152525" cy="723900"/>
                        </a:xfrm>
                        <a:prstGeom prst="rect">
                          <a:avLst/>
                        </a:prstGeom>
                        <a:solidFill>
                          <a:schemeClr val="lt1"/>
                        </a:solidFill>
                        <a:ln w="6350">
                          <a:noFill/>
                        </a:ln>
                      </wps:spPr>
                      <wps:txbx>
                        <w:txbxContent>
                          <w:p>
                            <w:pPr>
                              <w:pStyle w:val="0"/>
                              <w:pBdr>
                                <w:top w:val="double" w:color="FF0000" w:sz="4" w:space="2"/>
                                <w:left w:val="double" w:color="FF0000" w:sz="4" w:space="4"/>
                                <w:bottom w:val="double" w:color="FF0000" w:sz="4" w:space="1"/>
                                <w:right w:val="double" w:color="FF0000" w:sz="4" w:space="4"/>
                              </w:pBdr>
                              <w:spacing w:after="240" w:afterLines="0" w:afterAutospacing="0"/>
                              <w:jc w:val="center"/>
                              <w:rPr>
                                <w:rFonts w:hint="default" w:asciiTheme="majorEastAsia" w:hAnsiTheme="majorEastAsia" w:eastAsiaTheme="majorEastAsia"/>
                                <w:b w:val="1"/>
                                <w:color w:val="FF0000"/>
                                <w:sz w:val="32"/>
                              </w:rPr>
                            </w:pPr>
                            <w:r>
                              <w:rPr>
                                <w:rFonts w:hint="eastAsia" w:asciiTheme="majorEastAsia" w:hAnsiTheme="majorEastAsia" w:eastAsiaTheme="majorEastAsia"/>
                                <w:b w:val="1"/>
                                <w:color w:val="FF0000"/>
                                <w:sz w:val="32"/>
                              </w:rPr>
                              <w:t>記入例</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4;mso-wrap-distance-left:9pt;width:90.75pt;height:57pt;mso-position-horizontal-relative:text;position:absolute;margin-left:373.5pt;margin-top:-40.5pt;mso-wrap-distance-bottom:0pt;mso-wrap-distance-right:9pt;mso-wrap-distance-top:0pt;v-text-anchor:top;" o:spid="_x0000_s1027" o:allowincell="t" o:allowoverlap="t" filled="t" fillcolor="#ffffff [3201]" stroked="f" strokeweight="0.5pt" o:spt="202" type="#_x0000_t202">
                <v:fill/>
                <v:textbox style="layout-flow:horizontal;" inset="2.5399999999999996mm,1.2699999999999998mm,2.5399999999999996mm,1.2699999999999998mm">
                  <w:txbxContent>
                    <w:p>
                      <w:pPr>
                        <w:pStyle w:val="0"/>
                        <w:pBdr>
                          <w:top w:val="double" w:color="FF0000" w:sz="4" w:space="2"/>
                          <w:left w:val="double" w:color="FF0000" w:sz="4" w:space="4"/>
                          <w:bottom w:val="double" w:color="FF0000" w:sz="4" w:space="1"/>
                          <w:right w:val="double" w:color="FF0000" w:sz="4" w:space="4"/>
                        </w:pBdr>
                        <w:spacing w:after="240" w:afterLines="0" w:afterAutospacing="0"/>
                        <w:jc w:val="center"/>
                        <w:rPr>
                          <w:rFonts w:hint="default" w:asciiTheme="majorEastAsia" w:hAnsiTheme="majorEastAsia" w:eastAsiaTheme="majorEastAsia"/>
                          <w:b w:val="1"/>
                          <w:color w:val="FF0000"/>
                          <w:sz w:val="32"/>
                        </w:rPr>
                      </w:pPr>
                      <w:r>
                        <w:rPr>
                          <w:rFonts w:hint="eastAsia" w:asciiTheme="majorEastAsia" w:hAnsiTheme="majorEastAsia" w:eastAsiaTheme="majorEastAsia"/>
                          <w:b w:val="1"/>
                          <w:color w:val="FF0000"/>
                          <w:sz w:val="32"/>
                        </w:rPr>
                        <w:t>記入例</w:t>
                      </w:r>
                    </w:p>
                  </w:txbxContent>
                </v:textbox>
                <v:imagedata o:title=""/>
                <w10:wrap type="none" anchorx="text" anchory="text"/>
              </v:shape>
            </w:pict>
          </mc:Fallback>
        </mc:AlternateContent>
      </w:r>
      <w:r>
        <w:rPr>
          <w:rFonts w:hint="default"/>
        </w:rPr>
        <w:drawing>
          <wp:inline distT="0" distB="0" distL="0" distR="0">
            <wp:extent cx="6188710" cy="8740775"/>
            <wp:effectExtent l="0" t="0" r="0" b="0"/>
            <wp:docPr id="1028" name="Picture 56"/>
            <a:graphic xmlns:a="http://schemas.openxmlformats.org/drawingml/2006/main">
              <a:graphicData uri="http://schemas.openxmlformats.org/drawingml/2006/picture">
                <pic:pic xmlns:pic="http://schemas.openxmlformats.org/drawingml/2006/picture">
                  <pic:nvPicPr>
                    <pic:cNvPr id="1028" name="Picture 56"/>
                    <pic:cNvPicPr>
                      <a:picLocks noChangeAspect="1" noChangeArrowheads="1"/>
                    </pic:cNvPicPr>
                  </pic:nvPicPr>
                  <pic:blipFill>
                    <a:blip r:embed="rId6"/>
                    <a:stretch>
                      <a:fillRect/>
                    </a:stretch>
                  </pic:blipFill>
                  <pic:spPr>
                    <a:xfrm>
                      <a:off x="0" y="0"/>
                      <a:ext cx="6188710" cy="8740775"/>
                    </a:xfrm>
                    <a:prstGeom prst="rect">
                      <a:avLst/>
                    </a:prstGeom>
                    <a:noFill/>
                    <a:ln>
                      <a:noFill/>
                    </a:ln>
                  </pic:spPr>
                </pic:pic>
              </a:graphicData>
            </a:graphic>
          </wp:inline>
        </w:drawing>
      </w:r>
      <w:r>
        <w:rPr>
          <w:rFonts w:hint="default"/>
        </w:rPr>
        <mc:AlternateContent>
          <mc:Choice Requires="wps">
            <w:drawing>
              <wp:anchor distT="0" distB="0" distL="114300" distR="114300" simplePos="0" relativeHeight="3" behindDoc="0" locked="0" layoutInCell="1" hidden="0" allowOverlap="1">
                <wp:simplePos x="0" y="0"/>
                <wp:positionH relativeFrom="margin">
                  <wp:align>right</wp:align>
                </wp:positionH>
                <wp:positionV relativeFrom="paragraph">
                  <wp:posOffset>0</wp:posOffset>
                </wp:positionV>
                <wp:extent cx="7134225" cy="9658350"/>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7134225" cy="9658350"/>
                        </a:xfrm>
                        <a:prstGeom prst="rect">
                          <a:avLst/>
                        </a:prstGeom>
                        <a:solidFill>
                          <a:schemeClr val="lt1"/>
                        </a:solidFill>
                        <a:ln w="6350">
                          <a:noFill/>
                        </a:ln>
                      </wps:spPr>
                      <wps:txbx>
                        <w:txbxContent>
                          <w:p>
                            <w:pPr>
                              <w:pStyle w:val="0"/>
                              <w:rPr>
                                <w:rFonts w:hint="default"/>
                              </w:rPr>
                            </w:pPr>
                          </w:p>
                        </w:txbxContent>
                      </wps:txbx>
                      <wps:bodyPr rot="0" vertOverflow="overflow" horzOverflow="overflow" wrap="none"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3;mso-wrap-distance-left:9pt;width:561.75pt;height:760.5pt;mso-position-horizontal-relative:margin;position:absolute;mso-position-horizontal:right;margin-top:0pt;mso-wrap-distance-bottom:0pt;mso-wrap-distance-right:9pt;mso-wrap-distance-top:0pt;v-text-anchor:top;mso-wrap-style:none;" o:spid="_x0000_s1029" o:allowincell="t" o:allowoverlap="t" filled="t" fillcolor="#ffffff [3201]" stroked="f" strokeweight="0.5pt" o:spt="202" type="#_x0000_t202">
                <v:fill/>
                <v:textbox style="layout-flow:horizontal;mso-fit-shape-to-text:t;" inset="2.5399999999999996mm,1.2699999999999998mm,2.5399999999999996mm,1.2699999999999998mm">
                  <w:txbxContent>
                    <w:p>
                      <w:pPr>
                        <w:pStyle w:val="0"/>
                        <w:rPr>
                          <w:rFonts w:hint="default"/>
                        </w:rPr>
                      </w:pPr>
                    </w:p>
                  </w:txbxContent>
                </v:textbox>
                <v:imagedata o:title=""/>
                <w10:wrap type="none" anchorx="margin" anchory="text"/>
              </v:shape>
            </w:pict>
          </mc:Fallback>
        </mc:AlternateContent>
      </w:r>
    </w:p>
    <w:sectPr>
      <w:pgSz w:w="11906" w:h="16838"/>
      <w:pgMar w:top="1440" w:right="1080" w:bottom="1440" w:left="1080" w:header="851" w:footer="992" w:gutter="0"/>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 w:name="Century">
    <w:panose1 w:val="00000000000000000000"/>
    <w:charset w:val="00"/>
    <w:family w:val="swiss"/>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10"/>
  <w:drawingGridVerticalSpacing w:val="18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pPrDefault>
      <w:pPr>
        <w:jc w:val="both"/>
      </w:pPr>
    </w:pPrDefault>
  </w:docDefaults>
  <w:style w:type="paragraph" w:styleId="0" w:default="1">
    <w:name w:val="Normal"/>
    <w:next w:val="0"/>
    <w:link w:val="0"/>
    <w:uiPriority w:val="0"/>
    <w:qFormat/>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TotalTime>
  <Pages>3</Pages>
  <Words>6</Words>
  <Characters>763</Characters>
  <Application>JUST Note</Application>
  <Lines>33</Lines>
  <Paragraphs>14</Paragraphs>
  <Company>広島県庁</Company>
  <CharactersWithSpaces>764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花本 守</dc:creator>
  <cp:lastModifiedBy>花本 守</cp:lastModifiedBy>
  <cp:lastPrinted>2024-11-14T09:41:00Z</cp:lastPrinted>
  <dcterms:created xsi:type="dcterms:W3CDTF">2024-11-14T08:28:00Z</dcterms:created>
  <dcterms:modified xsi:type="dcterms:W3CDTF">2024-11-15T22:46:03Z</dcterms:modified>
  <cp:revision>17</cp:revision>
</cp:coreProperties>
</file>