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58" w:type="dxa"/>
        <w:tblInd w:w="6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58"/>
      </w:tblGrid>
      <w:tr>
        <w:trPr/>
        <w:tc>
          <w:tcPr>
            <w:tcW w:w="3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400" w:lineRule="atLeast"/>
              <w:jc w:val="center"/>
              <w:rPr>
                <w:rFonts w:hint="eastAsia"/>
                <w:spacing w:val="4"/>
                <w:sz w:val="24"/>
              </w:rPr>
            </w:pPr>
            <w:r>
              <w:rPr>
                <w:rFonts w:hint="eastAsia"/>
                <w:spacing w:val="4"/>
                <w:sz w:val="24"/>
              </w:rPr>
              <w:t>所属長・任命権者の皆様へ</w:t>
            </w:r>
          </w:p>
        </w:tc>
      </w:tr>
    </w:tbl>
    <w:p>
      <w:pPr>
        <w:pStyle w:val="0"/>
        <w:snapToGrid w:val="0"/>
        <w:spacing w:line="400" w:lineRule="atLeast"/>
        <w:jc w:val="center"/>
        <w:rPr>
          <w:rFonts w:hint="eastAsia" w:ascii="ＭＳ ゴシック" w:hAnsi="ＭＳ ゴシック" w:eastAsia="ＭＳ ゴシック"/>
          <w:b w:val="1"/>
          <w:spacing w:val="4"/>
          <w:sz w:val="22"/>
        </w:rPr>
      </w:pPr>
    </w:p>
    <w:p>
      <w:pPr>
        <w:pStyle w:val="0"/>
        <w:snapToGrid w:val="0"/>
        <w:spacing w:line="320" w:lineRule="atLeast"/>
        <w:jc w:val="center"/>
        <w:rPr>
          <w:rFonts w:hint="default" w:ascii="ＭＳ ゴシック" w:hAnsi="ＭＳ ゴシック" w:eastAsia="ＭＳ ゴシック"/>
          <w:b w:val="1"/>
          <w:spacing w:val="4"/>
          <w:sz w:val="32"/>
        </w:rPr>
      </w:pPr>
      <w:r>
        <w:rPr>
          <w:rFonts w:hint="eastAsia" w:ascii="ＭＳ ゴシック" w:hAnsi="ＭＳ ゴシック" w:eastAsia="ＭＳ ゴシック"/>
          <w:b w:val="1"/>
          <w:spacing w:val="4"/>
          <w:sz w:val="32"/>
        </w:rPr>
        <w:t>公務災害・通勤災害に係る留意事項について</w:t>
      </w:r>
    </w:p>
    <w:p>
      <w:pPr>
        <w:pStyle w:val="0"/>
        <w:snapToGrid w:val="0"/>
        <w:spacing w:line="320" w:lineRule="atLeast"/>
        <w:rPr>
          <w:rFonts w:hint="eastAsia"/>
          <w:sz w:val="22"/>
        </w:rPr>
      </w:pPr>
      <w:r>
        <w:rPr>
          <w:rFonts w:hint="eastAsia"/>
          <w:sz w:val="22"/>
        </w:rPr>
        <w:t>　　　　　　　　　　　　　　　　　　　　　　　　　　地方公務員災害補償基金広島県支部</w:t>
      </w:r>
    </w:p>
    <w:p>
      <w:pPr>
        <w:pStyle w:val="0"/>
        <w:snapToGrid w:val="0"/>
        <w:spacing w:line="320" w:lineRule="atLeast"/>
        <w:rPr>
          <w:rFonts w:hint="eastAsia"/>
          <w:sz w:val="22"/>
        </w:rPr>
      </w:pPr>
    </w:p>
    <w:p>
      <w:pPr>
        <w:pStyle w:val="0"/>
        <w:snapToGrid w:val="0"/>
        <w:spacing w:line="320" w:lineRule="atLeast"/>
        <w:rPr>
          <w:rFonts w:hint="default"/>
          <w:sz w:val="22"/>
        </w:rPr>
      </w:pPr>
      <w:r>
        <w:rPr>
          <w:rFonts w:hint="eastAsia"/>
          <w:sz w:val="22"/>
        </w:rPr>
        <w:t>　公務災害・通勤災害における療養補償の請求等については、次の点について被災職員を指導等いただくようお願いします。</w:t>
      </w:r>
    </w:p>
    <w:p>
      <w:pPr>
        <w:pStyle w:val="0"/>
        <w:snapToGrid w:val="0"/>
        <w:spacing w:line="320" w:lineRule="atLeast"/>
        <w:rPr>
          <w:rFonts w:hint="eastAsia" w:ascii="ＭＳ ゴシック" w:hAnsi="ＭＳ ゴシック" w:eastAsia="ＭＳ ゴシック"/>
          <w:b w:val="1"/>
          <w:color w:val="FF0000"/>
          <w:sz w:val="22"/>
          <w:shd w:val="pct15" w:color="auto" w:fill="FFFFFF"/>
        </w:rPr>
      </w:pPr>
      <w:r>
        <w:rPr>
          <w:rFonts w:hint="eastAsia" w:ascii="ＭＳ ゴシック" w:hAnsi="ＭＳ ゴシック" w:eastAsia="ＭＳ ゴシック"/>
          <w:b w:val="1"/>
          <w:color w:val="FF0000"/>
          <w:sz w:val="22"/>
          <w:bdr w:val="single" w:color="auto" w:sz="4" w:space="0"/>
        </w:rPr>
        <w:t>１　療養費の請求について　</w:t>
      </w:r>
    </w:p>
    <w:p>
      <w:pPr>
        <w:pStyle w:val="15"/>
        <w:spacing w:line="320" w:lineRule="atLeast"/>
        <w:rPr>
          <w:rFonts w:hint="eastAsia"/>
        </w:rPr>
      </w:pPr>
      <w:r>
        <w:rPr>
          <w:rFonts w:hint="eastAsia"/>
        </w:rPr>
        <w:t>　　公務災害・通勤災害における療養補償の請求方法については、別紙「療養費の請求方法（被災職員、所属・任命権者用）」を参照してください。</w:t>
      </w:r>
    </w:p>
    <w:p>
      <w:pPr>
        <w:pStyle w:val="0"/>
        <w:snapToGrid w:val="0"/>
        <w:spacing w:line="320" w:lineRule="atLeast"/>
        <w:ind w:left="228" w:hanging="228" w:hanging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　　公務災害や通勤災害として認定されても、その後に補償の請求をしないと支払は行われません。</w:t>
      </w:r>
    </w:p>
    <w:p>
      <w:pPr>
        <w:pStyle w:val="0"/>
        <w:snapToGrid w:val="0"/>
        <w:spacing w:line="320" w:lineRule="atLeast"/>
        <w:rPr>
          <w:rFonts w:hint="eastAsia" w:ascii="ＭＳ ゴシック" w:hAnsi="ＭＳ ゴシック" w:eastAsia="ＭＳ ゴシック"/>
          <w:b w:val="1"/>
          <w:sz w:val="22"/>
        </w:rPr>
      </w:pPr>
      <w:r>
        <w:rPr>
          <w:rFonts w:hint="eastAsia" w:ascii="ＭＳ ゴシック" w:hAnsi="ＭＳ ゴシック" w:eastAsia="ＭＳ ゴシック"/>
          <w:b w:val="1"/>
          <w:sz w:val="22"/>
        </w:rPr>
        <w:t>　　また、療養費請求の時効は２年（指定医療機関を除く）ですので、速やかに手続を行うよ</w:t>
      </w:r>
    </w:p>
    <w:p>
      <w:pPr>
        <w:pStyle w:val="0"/>
        <w:snapToGrid w:val="0"/>
        <w:spacing w:line="320" w:lineRule="atLeast"/>
        <w:rPr>
          <w:rFonts w:hint="eastAsia" w:ascii="ＭＳ ゴシック" w:hAnsi="ＭＳ ゴシック" w:eastAsia="ＭＳ ゴシック"/>
          <w:b w:val="1"/>
          <w:sz w:val="22"/>
        </w:rPr>
      </w:pPr>
      <w:r>
        <w:rPr>
          <w:rFonts w:hint="eastAsia" w:ascii="ＭＳ ゴシック" w:hAnsi="ＭＳ ゴシック" w:eastAsia="ＭＳ ゴシック"/>
          <w:b w:val="1"/>
          <w:sz w:val="22"/>
        </w:rPr>
        <w:t>　う指導してください。</w:t>
      </w:r>
    </w:p>
    <w:p>
      <w:pPr>
        <w:pStyle w:val="0"/>
        <w:snapToGrid w:val="0"/>
        <w:spacing w:line="320" w:lineRule="atLeast"/>
        <w:rPr>
          <w:rFonts w:hint="eastAsia" w:ascii="ＭＳ ゴシック" w:hAnsi="ＭＳ ゴシック" w:eastAsia="ＭＳ ゴシック"/>
          <w:b w:val="1"/>
          <w:sz w:val="22"/>
        </w:rPr>
      </w:pPr>
    </w:p>
    <w:p>
      <w:pPr>
        <w:pStyle w:val="0"/>
        <w:snapToGrid w:val="0"/>
        <w:spacing w:line="320" w:lineRule="atLeast"/>
        <w:rPr>
          <w:rFonts w:hint="eastAsia" w:ascii="ＭＳ ゴシック" w:hAnsi="ＭＳ ゴシック" w:eastAsia="ＭＳ ゴシック"/>
          <w:b w:val="1"/>
          <w:color w:val="FF0000"/>
          <w:sz w:val="22"/>
        </w:rPr>
      </w:pPr>
      <w:r>
        <w:rPr>
          <w:rFonts w:hint="eastAsia" w:ascii="ＭＳ ゴシック" w:hAnsi="ＭＳ ゴシック" w:eastAsia="ＭＳ ゴシック"/>
          <w:b w:val="1"/>
          <w:color w:val="FF0000"/>
          <w:sz w:val="22"/>
          <w:bdr w:val="single" w:color="auto" w:sz="4" w:space="0"/>
        </w:rPr>
        <w:t>２　治ゆ（症状固定）報告書の提出について　</w:t>
      </w:r>
    </w:p>
    <w:p>
      <w:pPr>
        <w:pStyle w:val="0"/>
        <w:snapToGrid w:val="0"/>
        <w:spacing w:line="320" w:lineRule="atLeast"/>
        <w:ind w:left="228" w:hanging="228" w:hangingChars="100"/>
        <w:rPr>
          <w:rFonts w:hint="eastAsia" w:ascii="ＭＳ ゴシック" w:hAnsi="ＭＳ ゴシック" w:eastAsia="ＭＳ ゴシック"/>
          <w:b w:val="1"/>
          <w:sz w:val="22"/>
        </w:rPr>
      </w:pPr>
      <w:r>
        <w:rPr>
          <w:rFonts w:hint="eastAsia"/>
          <w:sz w:val="22"/>
        </w:rPr>
        <w:t>　　治ゆについては、別紙「</w:t>
      </w:r>
      <w:r>
        <w:rPr>
          <w:rFonts w:hint="eastAsia"/>
        </w:rPr>
        <w:t>療養費の請求方法（被災職員、所属・任命権者用）</w:t>
      </w:r>
      <w:r>
        <w:rPr>
          <w:rFonts w:hint="eastAsia"/>
          <w:sz w:val="22"/>
        </w:rPr>
        <w:t>」や「災害補償制度上の「治ゆ」について（参考）」に記載してあるとおり、完全治ゆのほか、その症状が固定し、もはや医療効果が期待できなくなった状態を言います。</w:t>
      </w:r>
    </w:p>
    <w:p>
      <w:pPr>
        <w:pStyle w:val="0"/>
        <w:snapToGrid w:val="0"/>
        <w:spacing w:line="320" w:lineRule="atLeast"/>
        <w:ind w:left="218" w:leftChars="100" w:firstLine="228" w:firstLineChars="100"/>
        <w:rPr>
          <w:rFonts w:hint="eastAsia"/>
          <w:sz w:val="22"/>
        </w:rPr>
      </w:pPr>
      <w:r>
        <w:rPr>
          <w:rFonts w:hint="eastAsia"/>
          <w:sz w:val="22"/>
        </w:rPr>
        <w:t>また、各所属長又は任命権者において、被災職員が治ゆしたかどうかを定期的に確認し、治ゆした場合はすみやかに基金指定様式の</w:t>
      </w:r>
      <w:r>
        <w:rPr>
          <w:rFonts w:hint="eastAsia"/>
          <w:b w:val="1"/>
          <w:sz w:val="22"/>
        </w:rPr>
        <w:t>｢治ゆ（症状固定）報告書」</w:t>
      </w:r>
      <w:r>
        <w:rPr>
          <w:rFonts w:hint="eastAsia"/>
          <w:sz w:val="22"/>
        </w:rPr>
        <w:t>を提出するよう、被災職員を指導してください。</w:t>
      </w:r>
    </w:p>
    <w:p>
      <w:pPr>
        <w:pStyle w:val="0"/>
        <w:snapToGrid w:val="0"/>
        <w:spacing w:line="320" w:lineRule="atLeast"/>
        <w:ind w:left="228" w:hanging="228" w:hangingChars="100"/>
        <w:rPr>
          <w:rFonts w:hint="eastAsia"/>
          <w:b w:val="1"/>
          <w:sz w:val="22"/>
        </w:rPr>
      </w:pPr>
      <w:r>
        <w:rPr>
          <w:rFonts w:hint="eastAsia"/>
          <w:sz w:val="22"/>
        </w:rPr>
        <w:t>　　</w:t>
      </w:r>
      <w:r>
        <w:rPr>
          <w:rFonts w:hint="eastAsia"/>
          <w:b w:val="1"/>
          <w:sz w:val="22"/>
        </w:rPr>
        <w:t>なお、治ゆ（症状固定）後も治療が継続されていると認められている場合には、基金が職権で治ゆ認定を行う場合があります。</w:t>
      </w:r>
      <w:r>
        <w:rPr>
          <w:rFonts w:hint="eastAsia"/>
          <w:b w:val="1"/>
          <w:sz w:val="22"/>
        </w:rPr>
        <w:br w:type="textWrapping" w:clear="none"/>
      </w:r>
    </w:p>
    <w:p>
      <w:pPr>
        <w:pStyle w:val="0"/>
        <w:snapToGrid w:val="0"/>
        <w:spacing w:line="320" w:lineRule="atLeast"/>
        <w:rPr>
          <w:rFonts w:hint="eastAsia" w:ascii="ＭＳ ゴシック" w:hAnsi="ＭＳ ゴシック" w:eastAsia="ＭＳ ゴシック"/>
          <w:b w:val="1"/>
          <w:color w:val="FF0000"/>
          <w:sz w:val="22"/>
        </w:rPr>
      </w:pPr>
      <w:r>
        <w:rPr>
          <w:rFonts w:hint="eastAsia" w:ascii="ＭＳ ゴシック" w:hAnsi="ＭＳ ゴシック" w:eastAsia="ＭＳ ゴシック"/>
          <w:b w:val="1"/>
          <w:color w:val="FF0000"/>
          <w:sz w:val="22"/>
          <w:bdr w:val="single" w:color="auto" w:sz="4" w:space="0"/>
        </w:rPr>
        <w:t>３　第三者加害事案について　</w:t>
      </w:r>
    </w:p>
    <w:p>
      <w:pPr>
        <w:pStyle w:val="0"/>
        <w:snapToGrid w:val="0"/>
        <w:spacing w:line="320" w:lineRule="atLeast"/>
        <w:ind w:left="218" w:leftChars="100"/>
        <w:rPr>
          <w:rFonts w:hint="eastAsia"/>
          <w:sz w:val="22"/>
        </w:rPr>
      </w:pPr>
      <w:r>
        <w:rPr>
          <w:rFonts w:hint="eastAsia"/>
          <w:sz w:val="22"/>
        </w:rPr>
        <w:t>　第三者加害事案については、被災職員が相手方や相手方保険会社と示談交渉等を行う必要がありますので、被災職員と十分な情報交換を行って、適切な賠償（補償）が受けられるよう積極的な支援を行ってください。</w:t>
      </w:r>
    </w:p>
    <w:p>
      <w:pPr>
        <w:pStyle w:val="0"/>
        <w:snapToGrid w:val="0"/>
        <w:spacing w:line="320" w:lineRule="atLeast"/>
        <w:ind w:left="218" w:leftChars="100"/>
        <w:rPr>
          <w:rFonts w:hint="eastAsia"/>
          <w:sz w:val="22"/>
        </w:rPr>
      </w:pPr>
      <w:r>
        <w:rPr>
          <w:rFonts w:hint="eastAsia"/>
          <w:sz w:val="22"/>
        </w:rPr>
        <w:t>　また、示談が成立した場合には、示談書（免責証書）の写しを添えて</w:t>
      </w:r>
      <w:r>
        <w:rPr>
          <w:rFonts w:hint="eastAsia"/>
          <w:b w:val="1"/>
          <w:sz w:val="22"/>
        </w:rPr>
        <w:t>「損害賠償の受領報告書」</w:t>
      </w:r>
      <w:r>
        <w:rPr>
          <w:rFonts w:hint="eastAsia"/>
          <w:sz w:val="22"/>
        </w:rPr>
        <w:t>を提出するよう、被災職員を指導してください。２の「治ゆ（症状固定）報告書」とともに、この報告書が提出されないと事案が完結しません。</w:t>
      </w:r>
    </w:p>
    <w:p>
      <w:pPr>
        <w:pStyle w:val="0"/>
        <w:snapToGrid w:val="0"/>
        <w:spacing w:line="320" w:lineRule="atLeast"/>
        <w:ind w:left="218" w:leftChars="100"/>
        <w:rPr>
          <w:rFonts w:hint="eastAsia"/>
          <w:sz w:val="22"/>
        </w:rPr>
      </w:pPr>
      <w:r>
        <w:rPr>
          <w:rFonts w:hint="eastAsia"/>
          <w:sz w:val="22"/>
        </w:rPr>
        <w:t>　なお、認定請求書に添</w:t>
      </w:r>
      <w:bookmarkStart w:id="0" w:name="_GoBack"/>
      <w:bookmarkEnd w:id="0"/>
      <w:r>
        <w:rPr>
          <w:rFonts w:hint="eastAsia"/>
          <w:sz w:val="22"/>
        </w:rPr>
        <w:t>付した診断書に係る費用については、認定後に基金に請求することができますので、あわせて被災職員に伝えてください。</w:t>
      </w:r>
    </w:p>
    <w:p>
      <w:pPr>
        <w:pStyle w:val="0"/>
        <w:snapToGrid w:val="0"/>
        <w:spacing w:line="320" w:lineRule="atLeast"/>
        <w:rPr>
          <w:rFonts w:hint="eastAsia"/>
          <w:sz w:val="22"/>
        </w:rPr>
      </w:pPr>
    </w:p>
    <w:p>
      <w:pPr>
        <w:pStyle w:val="0"/>
        <w:snapToGrid w:val="0"/>
        <w:spacing w:line="320" w:lineRule="atLeast"/>
        <w:rPr>
          <w:rFonts w:hint="eastAsia" w:ascii="ＭＳ ゴシック" w:hAnsi="ＭＳ ゴシック" w:eastAsia="ＭＳ ゴシック"/>
          <w:b w:val="1"/>
          <w:color w:val="FF0000"/>
          <w:sz w:val="22"/>
          <w:bdr w:val="single" w:color="auto" w:sz="4" w:space="0"/>
        </w:rPr>
      </w:pPr>
      <w:r>
        <w:rPr>
          <w:rFonts w:hint="eastAsia" w:ascii="ＭＳ ゴシック" w:hAnsi="ＭＳ ゴシック" w:eastAsia="ＭＳ ゴシック"/>
          <w:b w:val="1"/>
          <w:color w:val="FF0000"/>
          <w:sz w:val="22"/>
          <w:bdr w:val="single" w:color="auto" w:sz="4" w:space="0"/>
        </w:rPr>
        <w:t>４　公務災害・通勤災害の防止について</w:t>
      </w:r>
      <w:r>
        <w:rPr>
          <w:rFonts w:hint="eastAsia" w:ascii="ＭＳ ゴシック" w:hAnsi="ＭＳ ゴシック" w:eastAsia="ＭＳ ゴシック"/>
          <w:b w:val="1"/>
          <w:color w:val="FF0000"/>
          <w:sz w:val="22"/>
          <w:bdr w:val="single" w:color="auto" w:sz="4" w:space="0"/>
        </w:rPr>
        <w:t xml:space="preserve"> </w:t>
      </w:r>
    </w:p>
    <w:p>
      <w:pPr>
        <w:pStyle w:val="0"/>
        <w:snapToGrid w:val="0"/>
        <w:spacing w:line="320" w:lineRule="atLeast"/>
        <w:ind w:left="218" w:leftChars="100" w:firstLine="228" w:firstLineChars="100"/>
        <w:rPr>
          <w:rFonts w:hint="eastAsia"/>
          <w:sz w:val="22"/>
        </w:rPr>
      </w:pPr>
      <w:r>
        <w:rPr>
          <w:rFonts w:hint="eastAsia"/>
          <w:sz w:val="22"/>
        </w:rPr>
        <w:t>公務災害・通勤災害については、基金広島県支部全体で毎年５００件程度発生し、その内容は同様の災害が繰り返し発生している状況にあります。</w:t>
      </w:r>
    </w:p>
    <w:p>
      <w:pPr>
        <w:pStyle w:val="0"/>
        <w:snapToGrid w:val="0"/>
        <w:spacing w:line="320" w:lineRule="atLeast"/>
        <w:ind w:left="218" w:leftChars="100" w:firstLine="228" w:firstLineChars="100"/>
        <w:rPr>
          <w:rFonts w:hint="eastAsia"/>
          <w:sz w:val="22"/>
        </w:rPr>
      </w:pPr>
      <w:r>
        <w:rPr>
          <w:rFonts w:hint="eastAsia"/>
          <w:sz w:val="22"/>
        </w:rPr>
        <w:t>各所属長・任命権者においては、少なくとも今後、同様な災害が発生しないよう、その発生原因を分析・検証し、災害防止対策を講じる必要があります。</w:t>
      </w:r>
    </w:p>
    <w:p>
      <w:pPr>
        <w:pStyle w:val="0"/>
        <w:snapToGrid w:val="0"/>
        <w:spacing w:line="320" w:lineRule="atLeast"/>
        <w:ind w:left="218" w:leftChars="100" w:firstLine="228" w:firstLineChars="100"/>
        <w:rPr>
          <w:rFonts w:hint="eastAsia"/>
          <w:sz w:val="22"/>
        </w:rPr>
      </w:pPr>
      <w:r>
        <w:rPr>
          <w:rFonts w:hint="eastAsia"/>
          <w:sz w:val="22"/>
        </w:rPr>
        <w:t>ついては、職場環境や作業の実施方法、マニュアル等の点検を行うとともに、職員研修を行うなど、災害発生後、すみやかに災害防止対策を講じるようお願いします。</w:t>
      </w:r>
    </w:p>
    <w:tbl>
      <w:tblPr>
        <w:tblStyle w:val="11"/>
        <w:tblpPr w:leftFromText="0" w:rightFromText="0" w:topFromText="0" w:bottomFromText="0" w:vertAnchor="text" w:horzAnchor="margin" w:tblpX="229" w:tblpY="240"/>
        <w:tblOverlap w:val="never"/>
        <w:tblW w:w="949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0" w:lastRow="0" w:firstColumn="0" w:lastColumn="0" w:noHBand="1" w:noVBand="1" w:val="0600"/>
      </w:tblPr>
      <w:tblGrid>
        <w:gridCol w:w="9498"/>
      </w:tblGrid>
      <w:tr>
        <w:trPr>
          <w:cantSplit/>
          <w:trHeight w:val="415" w:hRule="atLeast"/>
        </w:trPr>
        <w:tc>
          <w:tcPr>
            <w:tcW w:w="9498"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地方公務員災害補償基金広島県支部</w:t>
            </w:r>
          </w:p>
          <w:p>
            <w:pPr>
              <w:pStyle w:val="0"/>
              <w:snapToGrid w:val="0"/>
              <w:rPr>
                <w:rFonts w:hint="eastAsia"/>
                <w:color w:val="auto"/>
                <w:sz w:val="22"/>
              </w:rPr>
            </w:pPr>
            <w:r>
              <w:rPr>
                <w:rFonts w:hint="eastAsia"/>
                <w:color w:val="auto"/>
                <w:sz w:val="22"/>
              </w:rPr>
              <w:t>〒</w:t>
            </w:r>
            <w:r>
              <w:rPr>
                <w:rFonts w:hint="eastAsia"/>
                <w:color w:val="auto"/>
                <w:sz w:val="22"/>
              </w:rPr>
              <w:t>730-8511</w:t>
            </w:r>
            <w:r>
              <w:rPr>
                <w:rFonts w:hint="default"/>
                <w:color w:val="auto"/>
                <w:sz w:val="22"/>
              </w:rPr>
              <w:t xml:space="preserve">  </w:t>
            </w:r>
            <w:r>
              <w:rPr>
                <w:rFonts w:hint="eastAsia"/>
                <w:color w:val="auto"/>
                <w:sz w:val="22"/>
              </w:rPr>
              <w:t>広島市中区基町</w:t>
            </w:r>
            <w:r>
              <w:rPr>
                <w:rFonts w:hint="eastAsia"/>
                <w:color w:val="auto"/>
                <w:sz w:val="22"/>
              </w:rPr>
              <w:t>10-52</w:t>
            </w:r>
            <w:r>
              <w:rPr>
                <w:rFonts w:hint="eastAsia"/>
                <w:color w:val="auto"/>
                <w:sz w:val="22"/>
              </w:rPr>
              <w:t>　県庁福利課内　　℡</w:t>
            </w:r>
            <w:r>
              <w:rPr>
                <w:rFonts w:hint="default"/>
                <w:color w:val="auto"/>
                <w:sz w:val="22"/>
              </w:rPr>
              <w:t xml:space="preserve"> </w:t>
            </w:r>
            <w:r>
              <w:rPr>
                <w:rFonts w:hint="eastAsia"/>
                <w:color w:val="auto"/>
                <w:sz w:val="22"/>
              </w:rPr>
              <w:t>082-513-2265</w:t>
            </w:r>
          </w:p>
          <w:p>
            <w:pPr>
              <w:pStyle w:val="0"/>
              <w:snapToGrid w:val="0"/>
              <w:rPr>
                <w:rFonts w:hint="eastAsia"/>
                <w:color w:val="auto"/>
                <w:sz w:val="22"/>
              </w:rPr>
            </w:pPr>
            <w:r>
              <w:rPr>
                <w:rFonts w:hint="eastAsia"/>
                <w:color w:val="auto"/>
                <w:sz w:val="22"/>
              </w:rPr>
              <w:t>電子メール　</w:t>
            </w:r>
            <w:r>
              <w:rPr>
                <w:rFonts w:hint="eastAsia"/>
              </w:rPr>
              <w:fldChar w:fldCharType="begin"/>
            </w:r>
            <w:r>
              <w:rPr>
                <w:rFonts w:hint="eastAsia"/>
              </w:rPr>
              <w:instrText xml:space="preserve"> HYPERLINK "mailto:hiroshima-pref@ml.chikousai.jp"</w:instrText>
            </w:r>
            <w:r>
              <w:rPr>
                <w:rFonts w:hint="eastAsia"/>
              </w:rPr>
              <w:fldChar w:fldCharType="separate"/>
            </w:r>
            <w:r>
              <w:rPr>
                <w:rStyle w:val="17"/>
                <w:rFonts w:hint="default"/>
                <w:color w:val="auto"/>
                <w:sz w:val="22"/>
                <w:u w:val="none"/>
              </w:rPr>
              <w:t>hiros</w:t>
            </w:r>
            <w:r>
              <w:rPr>
                <w:rStyle w:val="17"/>
                <w:rFonts w:hint="eastAsia"/>
                <w:color w:val="auto"/>
                <w:sz w:val="22"/>
                <w:u w:val="none"/>
              </w:rPr>
              <w:t>h</w:t>
            </w:r>
            <w:r>
              <w:rPr>
                <w:rStyle w:val="17"/>
                <w:rFonts w:hint="default"/>
                <w:color w:val="auto"/>
                <w:sz w:val="22"/>
                <w:u w:val="none"/>
              </w:rPr>
              <w:t>ima-pref@ml.chikousai.jp</w:t>
            </w:r>
            <w:r>
              <w:rPr>
                <w:rFonts w:hint="eastAsia"/>
              </w:rPr>
              <w:fldChar w:fldCharType="end"/>
            </w:r>
          </w:p>
          <w:p>
            <w:pPr>
              <w:pStyle w:val="0"/>
              <w:snapToGrid w:val="0"/>
              <w:rPr>
                <w:rFonts w:hint="eastAsia" w:ascii="ＭＳ ゴシック" w:hAnsi="ＭＳ ゴシック" w:eastAsia="ＭＳ ゴシック"/>
                <w:b w:val="1"/>
                <w:sz w:val="22"/>
              </w:rPr>
            </w:pPr>
            <w:r>
              <w:rPr>
                <w:rFonts w:hint="eastAsia"/>
                <w:color w:val="auto"/>
                <w:sz w:val="22"/>
              </w:rPr>
              <w:t>ホームページ</w:t>
            </w:r>
            <w:r>
              <w:rPr>
                <w:rFonts w:hint="default"/>
                <w:color w:val="auto"/>
                <w:sz w:val="22"/>
              </w:rPr>
              <w:t>http://www.pref.hiroshima.lg.jp/site/tihoukoumuinnsaigaihosyoukikinn/</w:t>
            </w:r>
            <w:r>
              <w:rPr>
                <w:rFonts w:hint="eastAsia"/>
                <w:color w:val="auto"/>
                <w:sz w:val="22"/>
              </w:rPr>
              <w:t xml:space="preserve"> </w:t>
            </w:r>
          </w:p>
        </w:tc>
      </w:tr>
    </w:tbl>
    <w:p>
      <w:pPr>
        <w:pStyle w:val="0"/>
        <w:snapToGrid w:val="0"/>
        <w:spacing w:line="300" w:lineRule="atLeast"/>
        <w:rPr>
          <w:rFonts w:hint="eastAsia"/>
          <w:sz w:val="22"/>
        </w:rPr>
      </w:pPr>
    </w:p>
    <w:sectPr>
      <w:headerReference r:id="rId5" w:type="default"/>
      <w:footerReference r:id="rId6" w:type="default"/>
      <w:type w:val="continuous"/>
      <w:pgSz w:w="11906" w:h="16838"/>
      <w:pgMar w:top="907" w:right="1134" w:bottom="397" w:left="1134" w:header="720" w:footer="0" w:gutter="0"/>
      <w:cols w:space="720"/>
      <w:noEndnote w:val="1"/>
      <w:textDirection w:val="lrTb"/>
      <w:docGrid w:type="linesAndChars" w:linePitch="454"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Times New Roman" w:hAnsi="Times New Roman"/>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Times New Roman" w:hAnsi="Times New Roman"/>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638"/>
  <w:drawingGridVerticalSpacing w:val="4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28" w:hanging="228" w:hangingChars="100"/>
    </w:pPr>
    <w:rPr>
      <w:sz w:val="22"/>
    </w:rPr>
  </w:style>
  <w:style w:type="paragraph" w:styleId="16">
    <w:name w:val="Body Text Indent 2"/>
    <w:basedOn w:val="0"/>
    <w:next w:val="16"/>
    <w:link w:val="0"/>
    <w:uiPriority w:val="0"/>
    <w:pPr>
      <w:snapToGrid w:val="0"/>
      <w:spacing w:line="360" w:lineRule="auto"/>
      <w:ind w:left="456" w:hanging="456" w:hangingChars="200"/>
    </w:pPr>
    <w:rPr>
      <w:sz w:val="22"/>
    </w:rPr>
  </w:style>
  <w:style w:type="character" w:styleId="17">
    <w:name w:val="Hyperlink"/>
    <w:next w:val="17"/>
    <w:link w:val="0"/>
    <w:uiPriority w:val="0"/>
    <w:rPr>
      <w:color w:val="0000FF"/>
      <w:u w:val="single"/>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17</Words>
  <Characters>1178</Characters>
  <Application>JUST Note</Application>
  <Lines>46</Lines>
  <Paragraphs>25</Paragraphs>
  <Company>京都府</Company>
  <CharactersWithSpaces>1235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(被災職員の方へ)本書に認定通知書の写しを必ず添付して、医療機関の窓口に提出してください</dc:title>
  <dc:creator>K212003024</dc:creator>
  <cp:lastModifiedBy>表 和俊</cp:lastModifiedBy>
  <cp:lastPrinted>2024-07-02T01:20:22Z</cp:lastPrinted>
  <dcterms:created xsi:type="dcterms:W3CDTF">2012-01-10T04:18:00Z</dcterms:created>
  <dcterms:modified xsi:type="dcterms:W3CDTF">2024-07-02T01:20:10Z</dcterms:modified>
  <cp:revision>6</cp:revision>
</cp:coreProperties>
</file>