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B" w:rsidRDefault="005248AB">
      <w:pPr>
        <w:jc w:val="center"/>
        <w:rPr>
          <w:rFonts w:eastAsia="ＭＳ ゴシック"/>
          <w:b/>
          <w:color w:val="000000"/>
          <w:sz w:val="24"/>
        </w:rPr>
      </w:pPr>
      <w:bookmarkStart w:id="0" w:name="_GoBack"/>
      <w:bookmarkEnd w:id="0"/>
      <w:r>
        <w:rPr>
          <w:rFonts w:eastAsia="ＭＳ ゴシック" w:hint="eastAsia"/>
          <w:b/>
          <w:color w:val="000000"/>
          <w:sz w:val="24"/>
        </w:rPr>
        <w:t>除草剤の水口施用における適用条件</w:t>
      </w:r>
      <w:r w:rsidR="00C63223">
        <w:rPr>
          <w:rFonts w:eastAsia="ＭＳ ゴシック" w:hint="eastAsia"/>
          <w:b/>
          <w:color w:val="000000"/>
          <w:sz w:val="24"/>
        </w:rPr>
        <w:t>及</w:t>
      </w:r>
      <w:r>
        <w:rPr>
          <w:rFonts w:eastAsia="ＭＳ ゴシック" w:hint="eastAsia"/>
          <w:b/>
          <w:color w:val="000000"/>
          <w:sz w:val="24"/>
        </w:rPr>
        <w:t>び使用方法について</w:t>
      </w:r>
    </w:p>
    <w:p w:rsidR="005248AB" w:rsidRDefault="005248AB">
      <w:pPr>
        <w:rPr>
          <w:rFonts w:eastAsia="ＭＳ ゴシック"/>
          <w:b/>
          <w:color w:val="000000"/>
          <w:sz w:val="24"/>
        </w:rPr>
      </w:pPr>
    </w:p>
    <w:p w:rsidR="005248AB" w:rsidRPr="000202FC" w:rsidRDefault="005248AB">
      <w:pPr>
        <w:rPr>
          <w:rFonts w:ascii="ＭＳ 明朝" w:hAnsi="ＭＳ 明朝"/>
          <w:bCs/>
          <w:sz w:val="22"/>
          <w:szCs w:val="22"/>
        </w:rPr>
      </w:pPr>
      <w:r w:rsidRPr="000202FC">
        <w:rPr>
          <w:rFonts w:ascii="ＭＳ 明朝" w:hAnsi="ＭＳ 明朝" w:hint="eastAsia"/>
          <w:bCs/>
          <w:sz w:val="22"/>
          <w:szCs w:val="22"/>
        </w:rPr>
        <w:t xml:space="preserve">　水口施用とは，フロアブル剤等の拡散性に優れる薬剤を，水稲移植後の入水時に投入し，水田全面に拡散させる省力的な除草剤散布方法である。この方法は，水口施用に登録がある除草剤でのみ適用が可能である。</w:t>
      </w:r>
    </w:p>
    <w:p w:rsidR="005248AB" w:rsidRDefault="005248AB">
      <w:pPr>
        <w:rPr>
          <w:rFonts w:eastAsia="ＭＳ ゴシック"/>
          <w:b/>
          <w:color w:val="000000"/>
          <w:sz w:val="24"/>
        </w:rPr>
      </w:pPr>
    </w:p>
    <w:p w:rsidR="005248AB" w:rsidRDefault="005248AB">
      <w:pPr>
        <w:rPr>
          <w:rFonts w:eastAsia="ＭＳ ゴシック"/>
          <w:b/>
          <w:color w:val="000000"/>
          <w:sz w:val="24"/>
        </w:rPr>
      </w:pPr>
    </w:p>
    <w:p w:rsidR="005248AB" w:rsidRDefault="005248AB">
      <w:pPr>
        <w:ind w:left="1"/>
        <w:rPr>
          <w:rFonts w:eastAsia="ＭＳ ゴシック"/>
          <w:b/>
          <w:color w:val="000000"/>
          <w:sz w:val="22"/>
        </w:rPr>
      </w:pPr>
      <w:r>
        <w:rPr>
          <w:rFonts w:eastAsia="ＭＳ ゴシック" w:hint="eastAsia"/>
          <w:b/>
          <w:color w:val="000000"/>
          <w:sz w:val="22"/>
        </w:rPr>
        <w:t>１　適用条件</w:t>
      </w:r>
    </w:p>
    <w:p w:rsidR="004E51D2" w:rsidRDefault="005248AB" w:rsidP="004E51D2">
      <w:pPr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C76C68">
        <w:rPr>
          <w:rFonts w:ascii="ＭＳ 明朝" w:hAnsi="ＭＳ 明朝" w:hint="eastAsia"/>
          <w:color w:val="000000"/>
          <w:sz w:val="22"/>
          <w:szCs w:val="22"/>
        </w:rPr>
        <w:t>薬害を回避し，効果を十分に発揮させるために，以下の条件に該当する</w:t>
      </w:r>
      <w:r w:rsidR="00B9639B" w:rsidRPr="00C76C68">
        <w:rPr>
          <w:rFonts w:ascii="ＭＳ 明朝" w:hAnsi="ＭＳ 明朝" w:hint="eastAsia"/>
          <w:color w:val="000000"/>
          <w:sz w:val="22"/>
          <w:szCs w:val="22"/>
        </w:rPr>
        <w:t>ほ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場で使用すること。①</w:t>
      </w:r>
      <w:r w:rsidR="00733EF7" w:rsidRPr="00C76C6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田面が十分に均平であること。</w:t>
      </w:r>
    </w:p>
    <w:p w:rsidR="004E51D2" w:rsidRDefault="005248AB" w:rsidP="004E51D2">
      <w:pPr>
        <w:ind w:leftChars="100" w:left="210"/>
        <w:rPr>
          <w:rFonts w:ascii="ＭＳ 明朝" w:hAnsi="ＭＳ 明朝"/>
          <w:color w:val="000000"/>
          <w:sz w:val="22"/>
          <w:szCs w:val="22"/>
        </w:rPr>
      </w:pPr>
      <w:r w:rsidRPr="00C76C68">
        <w:rPr>
          <w:rFonts w:ascii="ＭＳ 明朝" w:hAnsi="ＭＳ 明朝" w:hint="eastAsia"/>
          <w:color w:val="000000"/>
          <w:sz w:val="22"/>
          <w:szCs w:val="22"/>
        </w:rPr>
        <w:t>②</w:t>
      </w:r>
      <w:r w:rsidR="00733EF7" w:rsidRPr="00C76C6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減水深の小さい</w:t>
      </w:r>
      <w:r w:rsidR="00F770CD" w:rsidRPr="00C76C68">
        <w:rPr>
          <w:rFonts w:ascii="ＭＳ 明朝" w:hAnsi="ＭＳ 明朝" w:hint="eastAsia"/>
          <w:color w:val="000000"/>
          <w:sz w:val="22"/>
          <w:szCs w:val="22"/>
        </w:rPr>
        <w:t>ほ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場。散布後</w:t>
      </w:r>
      <w:r w:rsidR="0032477C" w:rsidRPr="00C76C68">
        <w:rPr>
          <w:rFonts w:ascii="ＭＳ 明朝" w:hAnsi="ＭＳ 明朝" w:hint="eastAsia"/>
          <w:sz w:val="22"/>
          <w:szCs w:val="22"/>
        </w:rPr>
        <w:t>３～４日程度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は３～５</w:t>
      </w:r>
      <w:r w:rsidR="00141902">
        <w:rPr>
          <w:rFonts w:ascii="ＭＳ 明朝" w:hAnsi="ＭＳ 明朝" w:hint="eastAsia"/>
          <w:sz w:val="22"/>
          <w:szCs w:val="22"/>
        </w:rPr>
        <w:t>cm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の湛水深が保てること。</w:t>
      </w:r>
    </w:p>
    <w:p w:rsidR="005248AB" w:rsidRPr="004E51D2" w:rsidRDefault="005248AB" w:rsidP="004E51D2">
      <w:pPr>
        <w:ind w:leftChars="100" w:left="43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C76C68">
        <w:rPr>
          <w:rFonts w:ascii="ＭＳ 明朝" w:hAnsi="ＭＳ 明朝" w:hint="eastAsia"/>
          <w:color w:val="000000"/>
          <w:sz w:val="22"/>
          <w:szCs w:val="22"/>
        </w:rPr>
        <w:t>③</w:t>
      </w:r>
      <w:r w:rsidR="00733EF7" w:rsidRPr="00C76C6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給水量が十分に確保できること。</w:t>
      </w:r>
      <w:r w:rsidR="00733EF7" w:rsidRPr="00C76C68">
        <w:rPr>
          <w:rFonts w:ascii="ＭＳ 明朝" w:hAnsi="ＭＳ 明朝" w:hint="eastAsia"/>
          <w:color w:val="000000"/>
          <w:sz w:val="22"/>
          <w:szCs w:val="22"/>
        </w:rPr>
        <w:t>５</w:t>
      </w:r>
      <w:r w:rsidR="003A7236" w:rsidRPr="00C76C68">
        <w:rPr>
          <w:rFonts w:ascii="ＭＳ 明朝" w:hAnsi="ＭＳ 明朝" w:hint="eastAsia"/>
          <w:color w:val="000000"/>
          <w:sz w:val="22"/>
          <w:szCs w:val="22"/>
        </w:rPr>
        <w:t>～</w:t>
      </w:r>
      <w:r w:rsidR="00733EF7" w:rsidRPr="00C76C68">
        <w:rPr>
          <w:rFonts w:ascii="ＭＳ 明朝" w:hAnsi="ＭＳ 明朝" w:hint="eastAsia"/>
          <w:sz w:val="22"/>
          <w:szCs w:val="22"/>
        </w:rPr>
        <w:t>６</w:t>
      </w:r>
      <w:r w:rsidR="003A7236" w:rsidRPr="00C76C68">
        <w:rPr>
          <w:rFonts w:ascii="ＭＳ 明朝" w:hAnsi="ＭＳ 明朝" w:hint="eastAsia"/>
          <w:sz w:val="22"/>
          <w:szCs w:val="22"/>
        </w:rPr>
        <w:t>時間の入水で</w:t>
      </w:r>
      <w:r w:rsidR="00733EF7" w:rsidRPr="00C76C68">
        <w:rPr>
          <w:rFonts w:ascii="ＭＳ 明朝" w:hAnsi="ＭＳ 明朝" w:hint="eastAsia"/>
          <w:sz w:val="22"/>
          <w:szCs w:val="22"/>
        </w:rPr>
        <w:t>５</w:t>
      </w:r>
      <w:r w:rsidR="00141902">
        <w:rPr>
          <w:rFonts w:ascii="ＭＳ 明朝" w:hAnsi="ＭＳ 明朝" w:hint="eastAsia"/>
          <w:sz w:val="22"/>
          <w:szCs w:val="22"/>
        </w:rPr>
        <w:t>cm</w:t>
      </w:r>
      <w:r w:rsidR="003A7236" w:rsidRPr="00C76C68">
        <w:rPr>
          <w:rFonts w:ascii="ＭＳ 明朝" w:hAnsi="ＭＳ 明朝" w:hint="eastAsia"/>
          <w:sz w:val="22"/>
          <w:szCs w:val="22"/>
        </w:rPr>
        <w:t>程度の湛水が可能な水田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を最</w:t>
      </w:r>
      <w:r w:rsidR="00C76C6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低の目安とする。</w:t>
      </w:r>
    </w:p>
    <w:p w:rsidR="005248AB" w:rsidRDefault="005248AB">
      <w:pPr>
        <w:ind w:left="720" w:hanging="510"/>
        <w:rPr>
          <w:color w:val="000000"/>
          <w:sz w:val="22"/>
        </w:rPr>
      </w:pPr>
    </w:p>
    <w:p w:rsidR="005248AB" w:rsidRDefault="005248AB">
      <w:pPr>
        <w:ind w:left="1"/>
        <w:rPr>
          <w:rFonts w:eastAsia="ＭＳ ゴシック"/>
          <w:b/>
          <w:color w:val="000000"/>
          <w:sz w:val="22"/>
        </w:rPr>
      </w:pPr>
      <w:r>
        <w:rPr>
          <w:rFonts w:eastAsia="ＭＳ ゴシック" w:hint="eastAsia"/>
          <w:b/>
          <w:color w:val="000000"/>
          <w:sz w:val="22"/>
        </w:rPr>
        <w:t>２　使用方法</w:t>
      </w:r>
    </w:p>
    <w:p w:rsidR="005248AB" w:rsidRPr="00733EF7" w:rsidRDefault="005248AB">
      <w:pPr>
        <w:ind w:leftChars="100" w:left="210" w:firstLineChars="104" w:firstLine="229"/>
        <w:rPr>
          <w:rFonts w:ascii="ＭＳ 明朝" w:hAnsi="ＭＳ 明朝"/>
          <w:color w:val="000000"/>
          <w:sz w:val="22"/>
          <w:szCs w:val="22"/>
        </w:rPr>
      </w:pPr>
      <w:r w:rsidRPr="00733EF7">
        <w:rPr>
          <w:rFonts w:ascii="ＭＳ 明朝" w:hAnsi="ＭＳ 明朝" w:hint="eastAsia"/>
          <w:color w:val="000000"/>
          <w:sz w:val="22"/>
          <w:szCs w:val="22"/>
        </w:rPr>
        <w:t>入水時に薬剤全量を水口に投入し，流入水とともに水田全面に拡散させる。処理後田面水が，通常の湛水よりやや深水状態（湛水深５</w:t>
      </w:r>
      <w:r w:rsidR="00141902">
        <w:rPr>
          <w:rFonts w:ascii="ＭＳ 明朝" w:hAnsi="ＭＳ 明朝" w:hint="eastAsia"/>
          <w:color w:val="000000"/>
          <w:sz w:val="22"/>
          <w:szCs w:val="22"/>
        </w:rPr>
        <w:t>cm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>程度）に達したときに必ず水を止め，田面水があふれ出ないよう注意する。少なくとも</w:t>
      </w:r>
      <w:r w:rsidR="006D0BF7" w:rsidRPr="00733EF7">
        <w:rPr>
          <w:rFonts w:ascii="ＭＳ 明朝" w:hAnsi="ＭＳ 明朝" w:hint="eastAsia"/>
          <w:color w:val="000000"/>
          <w:sz w:val="22"/>
          <w:szCs w:val="22"/>
        </w:rPr>
        <w:t>３～４日間は通常の湛水状態を保ち</w:t>
      </w:r>
      <w:r w:rsidR="00733EF7" w:rsidRPr="00733EF7">
        <w:rPr>
          <w:rFonts w:ascii="ＭＳ 明朝" w:hAnsi="ＭＳ 明朝" w:hint="eastAsia"/>
          <w:color w:val="000000"/>
          <w:sz w:val="22"/>
          <w:szCs w:val="22"/>
        </w:rPr>
        <w:t>，</w:t>
      </w:r>
      <w:r w:rsidR="006D0BF7" w:rsidRPr="00733EF7">
        <w:rPr>
          <w:rFonts w:ascii="ＭＳ 明朝" w:hAnsi="ＭＳ 明朝" w:hint="eastAsia"/>
          <w:color w:val="000000"/>
          <w:sz w:val="22"/>
          <w:szCs w:val="22"/>
        </w:rPr>
        <w:t>散布後７日間は落水</w:t>
      </w:r>
      <w:r w:rsidR="00733EF7" w:rsidRPr="00733EF7">
        <w:rPr>
          <w:rFonts w:ascii="ＭＳ 明朝" w:hAnsi="ＭＳ 明朝" w:hint="eastAsia"/>
          <w:color w:val="000000"/>
          <w:sz w:val="22"/>
          <w:szCs w:val="22"/>
        </w:rPr>
        <w:t>，</w:t>
      </w:r>
      <w:r w:rsidR="006D0BF7" w:rsidRPr="00733EF7">
        <w:rPr>
          <w:rFonts w:ascii="ＭＳ 明朝" w:hAnsi="ＭＳ 明朝" w:hint="eastAsia"/>
          <w:color w:val="000000"/>
          <w:sz w:val="22"/>
          <w:szCs w:val="22"/>
        </w:rPr>
        <w:t>かけ流しはしない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>。その他については各適用薬剤の使用基準に従うこと。</w:t>
      </w:r>
      <w:r w:rsidRPr="00733EF7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sectPr w:rsidR="005248AB" w:rsidRPr="00733EF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477" w:rsidRDefault="00A95477" w:rsidP="009104DD">
      <w:r>
        <w:separator/>
      </w:r>
    </w:p>
  </w:endnote>
  <w:endnote w:type="continuationSeparator" w:id="0">
    <w:p w:rsidR="00A95477" w:rsidRDefault="00A95477" w:rsidP="0091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477" w:rsidRDefault="00A95477" w:rsidP="009104DD">
      <w:r>
        <w:separator/>
      </w:r>
    </w:p>
  </w:footnote>
  <w:footnote w:type="continuationSeparator" w:id="0">
    <w:p w:rsidR="00A95477" w:rsidRDefault="00A95477" w:rsidP="0091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299"/>
    <w:multiLevelType w:val="singleLevel"/>
    <w:tmpl w:val="9D6A72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B5"/>
    <w:rsid w:val="000202FC"/>
    <w:rsid w:val="00022E06"/>
    <w:rsid w:val="00141902"/>
    <w:rsid w:val="001F1392"/>
    <w:rsid w:val="002F1FE4"/>
    <w:rsid w:val="0032477C"/>
    <w:rsid w:val="003A7236"/>
    <w:rsid w:val="00452ABD"/>
    <w:rsid w:val="004E51D2"/>
    <w:rsid w:val="005248AB"/>
    <w:rsid w:val="00616D10"/>
    <w:rsid w:val="00684BDB"/>
    <w:rsid w:val="006D0BF7"/>
    <w:rsid w:val="00733EF7"/>
    <w:rsid w:val="009104DD"/>
    <w:rsid w:val="00A95477"/>
    <w:rsid w:val="00AD5A24"/>
    <w:rsid w:val="00B9639B"/>
    <w:rsid w:val="00C63223"/>
    <w:rsid w:val="00C76C68"/>
    <w:rsid w:val="00C81740"/>
    <w:rsid w:val="00E246B5"/>
    <w:rsid w:val="00F770CD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695AE38-808F-4168-8D0B-2D6D19FF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4D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10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4DD"/>
    <w:rPr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022E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2E0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2E06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2E0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2E06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22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2E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498B-3DE8-4E83-8CBA-6BB9518D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水口施用の適用条件および方法について</vt:lpstr>
      <vt:lpstr>１　水口施用の適用条件および方法について</vt:lpstr>
    </vt:vector>
  </TitlesOfParts>
  <Company>広島県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水口施用の適用条件および方法について</dc:title>
  <dc:creator>広島県</dc:creator>
  <cp:lastModifiedBy>頼實 弘昭</cp:lastModifiedBy>
  <cp:revision>15</cp:revision>
  <cp:lastPrinted>2011-02-08T01:07:00Z</cp:lastPrinted>
  <dcterms:created xsi:type="dcterms:W3CDTF">2015-12-09T05:43:00Z</dcterms:created>
  <dcterms:modified xsi:type="dcterms:W3CDTF">2021-03-15T08:55:00Z</dcterms:modified>
</cp:coreProperties>
</file>