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1C4" w:rsidRDefault="00DA11C4" w:rsidP="009C13AB">
      <w:pPr>
        <w:jc w:val="center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育苗箱の消毒</w:t>
      </w:r>
    </w:p>
    <w:p w:rsidR="00DA11C4" w:rsidRDefault="00DA11C4">
      <w:pPr>
        <w:rPr>
          <w:b/>
          <w:sz w:val="24"/>
        </w:rPr>
      </w:pPr>
    </w:p>
    <w:p w:rsidR="00DA11C4" w:rsidRPr="00083CE5" w:rsidRDefault="00DA11C4">
      <w:pPr>
        <w:rPr>
          <w:rFonts w:ascii="ＭＳ 明朝" w:hAnsi="ＭＳ 明朝"/>
        </w:rPr>
      </w:pPr>
      <w:r>
        <w:rPr>
          <w:rFonts w:hint="eastAsia"/>
        </w:rPr>
        <w:t xml:space="preserve">　</w:t>
      </w:r>
      <w:r w:rsidRPr="00083CE5">
        <w:rPr>
          <w:rFonts w:ascii="ＭＳ 明朝" w:hAnsi="ＭＳ 明朝" w:hint="eastAsia"/>
        </w:rPr>
        <w:t>育苗箱は使用後十分に洗浄し，乾燥して清潔な場所に保管すれば必ず消毒する必要はないが，木製の箱を使用する場合や繰り返し使用する場合には次の薬剤</w:t>
      </w:r>
      <w:r w:rsidR="005A1246" w:rsidRPr="00083CE5">
        <w:rPr>
          <w:rFonts w:ascii="ＭＳ 明朝" w:hAnsi="ＭＳ 明朝" w:hint="eastAsia"/>
        </w:rPr>
        <w:t>で消毒する</w:t>
      </w:r>
      <w:r w:rsidRPr="00083CE5">
        <w:rPr>
          <w:rFonts w:ascii="ＭＳ 明朝" w:hAnsi="ＭＳ 明朝" w:hint="eastAsia"/>
        </w:rPr>
        <w:t>。</w:t>
      </w:r>
    </w:p>
    <w:p w:rsidR="00DA11C4" w:rsidRPr="00083CE5" w:rsidRDefault="00DA11C4">
      <w:pPr>
        <w:rPr>
          <w:rFonts w:ascii="ＭＳ 明朝" w:hAnsi="ＭＳ 明朝"/>
        </w:rPr>
      </w:pPr>
    </w:p>
    <w:p w:rsidR="00DA11C4" w:rsidRPr="00083CE5" w:rsidRDefault="00DA11C4">
      <w:pPr>
        <w:rPr>
          <w:rFonts w:ascii="ＭＳ 明朝" w:hAnsi="ＭＳ 明朝"/>
        </w:rPr>
      </w:pPr>
      <w:r w:rsidRPr="00083CE5">
        <w:rPr>
          <w:rFonts w:ascii="ＭＳ 明朝" w:hAnsi="ＭＳ 明朝" w:hint="eastAsia"/>
        </w:rPr>
        <w:t>１　使用薬剤</w:t>
      </w:r>
    </w:p>
    <w:p w:rsidR="00DA11C4" w:rsidRPr="00083CE5" w:rsidRDefault="00083CE5" w:rsidP="00083CE5">
      <w:pPr>
        <w:ind w:firstLineChars="50" w:firstLine="105"/>
        <w:rPr>
          <w:rFonts w:ascii="ＭＳ 明朝" w:hAnsi="ＭＳ 明朝"/>
        </w:rPr>
      </w:pPr>
      <w:r w:rsidRPr="00083CE5">
        <w:rPr>
          <w:rFonts w:ascii="ＭＳ 明朝" w:hAnsi="ＭＳ 明朝"/>
        </w:rPr>
        <w:t>(1)</w:t>
      </w:r>
      <w:r w:rsidRPr="00083CE5">
        <w:rPr>
          <w:rFonts w:ascii="ＭＳ 明朝" w:hAnsi="ＭＳ 明朝" w:hint="eastAsia"/>
        </w:rPr>
        <w:t xml:space="preserve">　</w:t>
      </w:r>
      <w:r w:rsidR="00DA11C4" w:rsidRPr="00083CE5">
        <w:rPr>
          <w:rFonts w:ascii="ＭＳ 明朝" w:hAnsi="ＭＳ 明朝" w:hint="eastAsia"/>
        </w:rPr>
        <w:t>イチバン　　　　500～1,000倍液に瞬時浸漬又は散布する。　使用回数は１回</w:t>
      </w:r>
    </w:p>
    <w:p w:rsidR="00DA11C4" w:rsidRPr="00083CE5" w:rsidRDefault="00083CE5" w:rsidP="00083CE5">
      <w:pPr>
        <w:ind w:firstLineChars="50" w:firstLine="105"/>
        <w:rPr>
          <w:rFonts w:ascii="ＭＳ 明朝" w:hAnsi="ＭＳ 明朝"/>
        </w:rPr>
      </w:pPr>
      <w:r w:rsidRPr="00083CE5">
        <w:rPr>
          <w:rFonts w:ascii="ＭＳ 明朝" w:hAnsi="ＭＳ 明朝"/>
        </w:rPr>
        <w:t>(2)</w:t>
      </w:r>
      <w:r w:rsidRPr="00083CE5">
        <w:rPr>
          <w:rFonts w:ascii="ＭＳ 明朝" w:hAnsi="ＭＳ 明朝" w:hint="eastAsia"/>
        </w:rPr>
        <w:t xml:space="preserve">　</w:t>
      </w:r>
      <w:r w:rsidR="00DA11C4" w:rsidRPr="00083CE5">
        <w:rPr>
          <w:rFonts w:ascii="ＭＳ 明朝" w:hAnsi="ＭＳ 明朝" w:hint="eastAsia"/>
        </w:rPr>
        <w:t>ケミクロンＧ　　1,000倍液に10分間浸漬する。　使用回数は１回</w:t>
      </w:r>
    </w:p>
    <w:p w:rsidR="00DA11C4" w:rsidRPr="00083CE5" w:rsidRDefault="00DA11C4">
      <w:pPr>
        <w:rPr>
          <w:rFonts w:ascii="ＭＳ 明朝" w:hAnsi="ＭＳ 明朝"/>
        </w:rPr>
      </w:pPr>
    </w:p>
    <w:p w:rsidR="00083CE5" w:rsidRPr="00083CE5" w:rsidRDefault="00DA11C4" w:rsidP="00083CE5">
      <w:pPr>
        <w:rPr>
          <w:rFonts w:ascii="ＭＳ 明朝" w:hAnsi="ＭＳ 明朝"/>
        </w:rPr>
      </w:pPr>
      <w:r w:rsidRPr="00083CE5">
        <w:rPr>
          <w:rFonts w:ascii="ＭＳ 明朝" w:hAnsi="ＭＳ 明朝" w:hint="eastAsia"/>
        </w:rPr>
        <w:t>２　使用上の注意</w:t>
      </w:r>
    </w:p>
    <w:p w:rsidR="00DA11C4" w:rsidRPr="00083CE5" w:rsidRDefault="00083CE5" w:rsidP="00083CE5">
      <w:pPr>
        <w:ind w:leftChars="50" w:left="420" w:hangingChars="150" w:hanging="315"/>
        <w:rPr>
          <w:rFonts w:ascii="ＭＳ 明朝" w:hAnsi="ＭＳ 明朝"/>
        </w:rPr>
      </w:pPr>
      <w:r w:rsidRPr="00083CE5">
        <w:rPr>
          <w:rFonts w:ascii="ＭＳ 明朝" w:hAnsi="ＭＳ 明朝"/>
        </w:rPr>
        <w:t>(1)</w:t>
      </w:r>
      <w:r w:rsidRPr="00083CE5">
        <w:rPr>
          <w:rFonts w:ascii="ＭＳ 明朝" w:hAnsi="ＭＳ 明朝" w:hint="eastAsia"/>
        </w:rPr>
        <w:t xml:space="preserve">　</w:t>
      </w:r>
      <w:r w:rsidR="00DA11C4" w:rsidRPr="00083CE5">
        <w:rPr>
          <w:rFonts w:ascii="ＭＳ 明朝" w:hAnsi="ＭＳ 明朝" w:hint="eastAsia"/>
        </w:rPr>
        <w:t>育苗箱に土塊などが付着している場合，その部分が薬害をおこすことがあるため，箱の洗浄は十分に行うこと。また，使用濃度</w:t>
      </w:r>
      <w:r w:rsidR="009133EC">
        <w:rPr>
          <w:rFonts w:ascii="ＭＳ 明朝" w:hAnsi="ＭＳ 明朝" w:hint="eastAsia"/>
        </w:rPr>
        <w:t>及</w:t>
      </w:r>
      <w:r w:rsidR="00DA11C4" w:rsidRPr="00083CE5">
        <w:rPr>
          <w:rFonts w:ascii="ＭＳ 明朝" w:hAnsi="ＭＳ 明朝" w:hint="eastAsia"/>
        </w:rPr>
        <w:t>び浸漬時間を厳守すること。</w:t>
      </w:r>
    </w:p>
    <w:p w:rsidR="00DA11C4" w:rsidRPr="00083CE5" w:rsidRDefault="00083CE5" w:rsidP="00083CE5">
      <w:pPr>
        <w:ind w:firstLineChars="50" w:firstLine="105"/>
        <w:rPr>
          <w:rFonts w:ascii="ＭＳ 明朝" w:hAnsi="ＭＳ 明朝"/>
        </w:rPr>
      </w:pPr>
      <w:r w:rsidRPr="00083CE5">
        <w:rPr>
          <w:rFonts w:ascii="ＭＳ 明朝" w:hAnsi="ＭＳ 明朝"/>
        </w:rPr>
        <w:t>(2)</w:t>
      </w:r>
      <w:r w:rsidRPr="00083CE5">
        <w:rPr>
          <w:rFonts w:ascii="ＭＳ 明朝" w:hAnsi="ＭＳ 明朝" w:hint="eastAsia"/>
        </w:rPr>
        <w:t xml:space="preserve">　</w:t>
      </w:r>
      <w:r w:rsidR="00DA11C4" w:rsidRPr="00083CE5">
        <w:rPr>
          <w:rFonts w:ascii="ＭＳ 明朝" w:hAnsi="ＭＳ 明朝" w:hint="eastAsia"/>
        </w:rPr>
        <w:t>魚介類に影響があるので，残液を処分する場合には，必ず次の処置を行なう。</w:t>
      </w:r>
    </w:p>
    <w:p w:rsidR="00DA11C4" w:rsidRPr="00083CE5" w:rsidRDefault="00DA11C4">
      <w:pPr>
        <w:ind w:left="2100" w:hanging="2100"/>
        <w:rPr>
          <w:rFonts w:ascii="ＭＳ 明朝" w:hAnsi="ＭＳ 明朝"/>
        </w:rPr>
      </w:pPr>
      <w:r w:rsidRPr="00083CE5">
        <w:rPr>
          <w:rFonts w:ascii="ＭＳ 明朝" w:hAnsi="ＭＳ 明朝" w:hint="eastAsia"/>
        </w:rPr>
        <w:t xml:space="preserve">　　ア　イチバン … 残液100リットル当</w:t>
      </w:r>
      <w:r w:rsidR="002609E4">
        <w:rPr>
          <w:rFonts w:ascii="ＭＳ 明朝" w:hAnsi="ＭＳ 明朝" w:hint="eastAsia"/>
        </w:rPr>
        <w:t>た</w:t>
      </w:r>
      <w:bookmarkStart w:id="0" w:name="_GoBack"/>
      <w:bookmarkEnd w:id="0"/>
      <w:r w:rsidRPr="00083CE5">
        <w:rPr>
          <w:rFonts w:ascii="ＭＳ 明朝" w:hAnsi="ＭＳ 明朝" w:hint="eastAsia"/>
        </w:rPr>
        <w:t>り消石灰</w:t>
      </w:r>
      <w:r w:rsidR="00BA640E" w:rsidRPr="00083CE5">
        <w:rPr>
          <w:rFonts w:ascii="ＭＳ 明朝" w:hAnsi="ＭＳ 明朝" w:hint="eastAsia"/>
        </w:rPr>
        <w:t>３</w:t>
      </w:r>
      <w:r w:rsidRPr="00083CE5">
        <w:rPr>
          <w:rFonts w:ascii="ＭＳ 明朝" w:hAnsi="ＭＳ 明朝" w:hint="eastAsia"/>
        </w:rPr>
        <w:t>㎏を加え，数日間直射日光にさらし，有効成分の分解を待って危険のない場所で安全に処理する。</w:t>
      </w:r>
    </w:p>
    <w:p w:rsidR="00DA11C4" w:rsidRPr="00083CE5" w:rsidRDefault="00DA11C4">
      <w:pPr>
        <w:ind w:left="2520" w:hanging="2520"/>
        <w:rPr>
          <w:rFonts w:ascii="ＭＳ 明朝" w:hAnsi="ＭＳ 明朝"/>
        </w:rPr>
      </w:pPr>
      <w:r w:rsidRPr="00083CE5">
        <w:rPr>
          <w:rFonts w:ascii="ＭＳ 明朝" w:hAnsi="ＭＳ 明朝" w:hint="eastAsia"/>
        </w:rPr>
        <w:t xml:space="preserve">　　イ　ケミクロンＧ … ハイポ又は亜硫酸ソーダで有効成分が残らないように中和してから</w:t>
      </w:r>
      <w:r w:rsidR="00083CE5" w:rsidRPr="00083CE5">
        <w:rPr>
          <w:rFonts w:ascii="ＭＳ 明朝" w:hAnsi="ＭＳ 明朝" w:hint="eastAsia"/>
        </w:rPr>
        <w:t>処分する。</w:t>
      </w:r>
    </w:p>
    <w:p w:rsidR="00083CE5" w:rsidRDefault="00083CE5" w:rsidP="00083CE5">
      <w:pPr>
        <w:ind w:leftChars="50" w:left="105"/>
        <w:rPr>
          <w:rFonts w:ascii="ＭＳ 明朝" w:hAnsi="ＭＳ 明朝"/>
        </w:rPr>
      </w:pPr>
      <w:r w:rsidRPr="00083CE5">
        <w:rPr>
          <w:rFonts w:ascii="ＭＳ 明朝" w:hAnsi="ＭＳ 明朝"/>
        </w:rPr>
        <w:t>(3)</w:t>
      </w:r>
      <w:r>
        <w:rPr>
          <w:rFonts w:ascii="ＭＳ 明朝" w:hAnsi="ＭＳ 明朝" w:hint="eastAsia"/>
        </w:rPr>
        <w:t xml:space="preserve">　</w:t>
      </w:r>
      <w:r w:rsidR="00DA11C4" w:rsidRPr="00083CE5">
        <w:rPr>
          <w:rFonts w:ascii="ＭＳ 明朝" w:hAnsi="ＭＳ 明朝" w:hint="eastAsia"/>
        </w:rPr>
        <w:t>両剤とも引火性があるため，貯蔵には注意すること。</w:t>
      </w:r>
    </w:p>
    <w:p w:rsidR="00DA11C4" w:rsidRPr="00083CE5" w:rsidRDefault="00083CE5" w:rsidP="00083CE5">
      <w:pPr>
        <w:ind w:leftChars="50" w:left="420" w:hangingChars="150" w:hanging="315"/>
        <w:rPr>
          <w:rFonts w:ascii="ＭＳ 明朝" w:hAnsi="ＭＳ 明朝"/>
        </w:rPr>
      </w:pPr>
      <w:r w:rsidRPr="00083CE5">
        <w:rPr>
          <w:rFonts w:ascii="ＭＳ 明朝" w:hAnsi="ＭＳ 明朝"/>
        </w:rPr>
        <w:t>(4)</w:t>
      </w:r>
      <w:r>
        <w:rPr>
          <w:rFonts w:ascii="ＭＳ 明朝" w:hAnsi="ＭＳ 明朝" w:hint="eastAsia"/>
        </w:rPr>
        <w:t xml:space="preserve">　</w:t>
      </w:r>
      <w:r w:rsidR="00DA11C4" w:rsidRPr="00083CE5">
        <w:rPr>
          <w:rFonts w:ascii="ＭＳ 明朝" w:hAnsi="ＭＳ 明朝" w:hint="eastAsia"/>
        </w:rPr>
        <w:t>両剤とも消毒済みの廃液は薬害がおこるため，培土，床土，育苗中の苗等への散布やかん注は絶対に行わないこと。</w:t>
      </w:r>
    </w:p>
    <w:p w:rsidR="00DA11C4" w:rsidRDefault="00DA11C4"/>
    <w:p w:rsidR="00DA11C4" w:rsidRDefault="00DA11C4"/>
    <w:p w:rsidR="00DA11C4" w:rsidRDefault="00DA11C4"/>
    <w:sectPr w:rsidR="00DA11C4">
      <w:footerReference w:type="even" r:id="rId6"/>
      <w:pgSz w:w="11906" w:h="16838" w:code="9"/>
      <w:pgMar w:top="1418" w:right="1134" w:bottom="1418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A6F" w:rsidRDefault="00911A6F">
      <w:r>
        <w:separator/>
      </w:r>
    </w:p>
  </w:endnote>
  <w:endnote w:type="continuationSeparator" w:id="0">
    <w:p w:rsidR="00911A6F" w:rsidRDefault="0091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1C4" w:rsidRDefault="00DA11C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A11C4" w:rsidRDefault="00DA11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A6F" w:rsidRDefault="00911A6F">
      <w:r>
        <w:separator/>
      </w:r>
    </w:p>
  </w:footnote>
  <w:footnote w:type="continuationSeparator" w:id="0">
    <w:p w:rsidR="00911A6F" w:rsidRDefault="00911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3AB"/>
    <w:rsid w:val="00015649"/>
    <w:rsid w:val="00083CE5"/>
    <w:rsid w:val="002609E4"/>
    <w:rsid w:val="005A1246"/>
    <w:rsid w:val="00911A6F"/>
    <w:rsid w:val="009133EC"/>
    <w:rsid w:val="009C13AB"/>
    <w:rsid w:val="00BA640E"/>
    <w:rsid w:val="00C22571"/>
    <w:rsid w:val="00DA11C4"/>
    <w:rsid w:val="00F6019D"/>
    <w:rsid w:val="00FD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9596B97-11C4-453A-B029-9570F54F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63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annotation reference"/>
    <w:basedOn w:val="a0"/>
    <w:uiPriority w:val="99"/>
    <w:semiHidden/>
    <w:unhideWhenUsed/>
    <w:rsid w:val="00FD17D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D17D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D17DD"/>
    <w:rPr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D17D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D17DD"/>
    <w:rPr>
      <w:b/>
      <w:bCs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FD1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D17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　適用情報</vt:lpstr>
      <vt:lpstr>第２　適用情報</vt:lpstr>
    </vt:vector>
  </TitlesOfParts>
  <Company>広島県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　適用情報</dc:title>
  <dc:subject/>
  <dc:creator>広島県</dc:creator>
  <cp:keywords/>
  <cp:lastModifiedBy>頼實 弘昭</cp:lastModifiedBy>
  <cp:revision>9</cp:revision>
  <cp:lastPrinted>2021-03-15T08:14:00Z</cp:lastPrinted>
  <dcterms:created xsi:type="dcterms:W3CDTF">2014-12-08T04:38:00Z</dcterms:created>
  <dcterms:modified xsi:type="dcterms:W3CDTF">2021-03-15T08:32:00Z</dcterms:modified>
</cp:coreProperties>
</file>