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C5D" w:rsidRPr="009612B9" w:rsidRDefault="009612B9" w:rsidP="009612B9">
      <w:pPr>
        <w:jc w:val="center"/>
        <w:rPr>
          <w:rFonts w:asciiTheme="majorEastAsia" w:eastAsiaTheme="majorEastAsia" w:hAnsiTheme="majorEastAsia" w:hint="eastAsia"/>
          <w:sz w:val="24"/>
        </w:rPr>
      </w:pPr>
      <w:r w:rsidRPr="009612B9">
        <w:rPr>
          <w:rFonts w:asciiTheme="majorEastAsia" w:eastAsiaTheme="majorEastAsia" w:hAnsiTheme="majorEastAsia" w:hint="eastAsia"/>
          <w:sz w:val="24"/>
        </w:rPr>
        <w:t>「広島県都市計画制度運用方針（素案）</w:t>
      </w:r>
      <w:r>
        <w:rPr>
          <w:rFonts w:asciiTheme="majorEastAsia" w:eastAsiaTheme="majorEastAsia" w:hAnsiTheme="majorEastAsia" w:hint="eastAsia"/>
          <w:sz w:val="24"/>
        </w:rPr>
        <w:t>」</w:t>
      </w:r>
      <w:r w:rsidRPr="009612B9">
        <w:rPr>
          <w:rFonts w:asciiTheme="majorEastAsia" w:eastAsiaTheme="majorEastAsia" w:hAnsiTheme="majorEastAsia" w:hint="eastAsia"/>
          <w:sz w:val="24"/>
        </w:rPr>
        <w:t>に対する県民意見募集に結果について</w:t>
      </w:r>
    </w:p>
    <w:p w:rsidR="009612B9" w:rsidRDefault="009612B9">
      <w:pPr>
        <w:rPr>
          <w:rFonts w:hint="eastAsia"/>
        </w:rPr>
      </w:pPr>
    </w:p>
    <w:p w:rsidR="009612B9" w:rsidRDefault="009612B9">
      <w:pPr>
        <w:rPr>
          <w:rFonts w:hint="eastAsia"/>
        </w:rPr>
      </w:pPr>
      <w:r>
        <w:rPr>
          <w:rFonts w:hint="eastAsia"/>
        </w:rPr>
        <w:t xml:space="preserve">　「広島県都市計画制度運用方針（素案）」に対する県民意見募集に御協力いただき，ありがとうございました。</w:t>
      </w:r>
    </w:p>
    <w:p w:rsidR="009612B9" w:rsidRDefault="009612B9">
      <w:pPr>
        <w:rPr>
          <w:rFonts w:hint="eastAsia"/>
        </w:rPr>
      </w:pPr>
      <w:r>
        <w:rPr>
          <w:rFonts w:hint="eastAsia"/>
        </w:rPr>
        <w:t xml:space="preserve">　意見募集の結果と，寄せられた意見に対する県の考えは次のとおりです。</w:t>
      </w:r>
    </w:p>
    <w:p w:rsidR="009612B9" w:rsidRDefault="009612B9">
      <w:pPr>
        <w:rPr>
          <w:rFonts w:hint="eastAsia"/>
        </w:rPr>
      </w:pPr>
    </w:p>
    <w:p w:rsidR="009612B9" w:rsidRPr="009612B9" w:rsidRDefault="009612B9">
      <w:pPr>
        <w:rPr>
          <w:rFonts w:asciiTheme="majorEastAsia" w:eastAsiaTheme="majorEastAsia" w:hAnsiTheme="majorEastAsia" w:hint="eastAsia"/>
        </w:rPr>
      </w:pPr>
      <w:r w:rsidRPr="009612B9">
        <w:rPr>
          <w:rFonts w:asciiTheme="majorEastAsia" w:eastAsiaTheme="majorEastAsia" w:hAnsiTheme="majorEastAsia" w:hint="eastAsia"/>
        </w:rPr>
        <w:t>１　実施期間と結果</w:t>
      </w:r>
    </w:p>
    <w:tbl>
      <w:tblPr>
        <w:tblStyle w:val="a3"/>
        <w:tblW w:w="0" w:type="auto"/>
        <w:tblInd w:w="108" w:type="dxa"/>
        <w:tblLook w:val="04A0" w:firstRow="1" w:lastRow="0" w:firstColumn="1" w:lastColumn="0" w:noHBand="0" w:noVBand="1"/>
      </w:tblPr>
      <w:tblGrid>
        <w:gridCol w:w="1843"/>
        <w:gridCol w:w="7796"/>
      </w:tblGrid>
      <w:tr w:rsidR="009612B9" w:rsidTr="005850E0">
        <w:tc>
          <w:tcPr>
            <w:tcW w:w="1843" w:type="dxa"/>
          </w:tcPr>
          <w:p w:rsidR="009612B9" w:rsidRDefault="009612B9" w:rsidP="009612B9">
            <w:pPr>
              <w:jc w:val="center"/>
            </w:pPr>
            <w:r>
              <w:rPr>
                <w:rFonts w:hint="eastAsia"/>
              </w:rPr>
              <w:t>期　　　間</w:t>
            </w:r>
          </w:p>
        </w:tc>
        <w:tc>
          <w:tcPr>
            <w:tcW w:w="7796" w:type="dxa"/>
          </w:tcPr>
          <w:p w:rsidR="009612B9" w:rsidRDefault="009612B9">
            <w:r>
              <w:rPr>
                <w:rFonts w:hint="eastAsia"/>
              </w:rPr>
              <w:t>令和元年８月</w:t>
            </w:r>
            <w:r>
              <w:rPr>
                <w:rFonts w:hint="eastAsia"/>
              </w:rPr>
              <w:t>26</w:t>
            </w:r>
            <w:r>
              <w:rPr>
                <w:rFonts w:hint="eastAsia"/>
              </w:rPr>
              <w:t>日（月）から令和元年９月</w:t>
            </w:r>
            <w:r>
              <w:rPr>
                <w:rFonts w:hint="eastAsia"/>
              </w:rPr>
              <w:t>27</w:t>
            </w:r>
            <w:r>
              <w:rPr>
                <w:rFonts w:hint="eastAsia"/>
              </w:rPr>
              <w:t>日（金）</w:t>
            </w:r>
          </w:p>
        </w:tc>
      </w:tr>
      <w:tr w:rsidR="009612B9" w:rsidTr="005850E0">
        <w:tc>
          <w:tcPr>
            <w:tcW w:w="1843" w:type="dxa"/>
          </w:tcPr>
          <w:p w:rsidR="009612B9" w:rsidRDefault="009612B9" w:rsidP="009612B9">
            <w:pPr>
              <w:jc w:val="center"/>
            </w:pPr>
            <w:r>
              <w:rPr>
                <w:rFonts w:hint="eastAsia"/>
              </w:rPr>
              <w:t>意　見　数</w:t>
            </w:r>
          </w:p>
        </w:tc>
        <w:tc>
          <w:tcPr>
            <w:tcW w:w="7796" w:type="dxa"/>
          </w:tcPr>
          <w:p w:rsidR="009612B9" w:rsidRDefault="009612B9">
            <w:r>
              <w:rPr>
                <w:rFonts w:hint="eastAsia"/>
              </w:rPr>
              <w:t>２人２件</w:t>
            </w:r>
          </w:p>
        </w:tc>
      </w:tr>
    </w:tbl>
    <w:p w:rsidR="009612B9" w:rsidRDefault="009612B9">
      <w:pPr>
        <w:rPr>
          <w:rFonts w:hint="eastAsia"/>
        </w:rPr>
      </w:pPr>
    </w:p>
    <w:p w:rsidR="009612B9" w:rsidRPr="009612B9" w:rsidRDefault="009612B9">
      <w:pPr>
        <w:rPr>
          <w:rFonts w:asciiTheme="majorEastAsia" w:eastAsiaTheme="majorEastAsia" w:hAnsiTheme="majorEastAsia" w:hint="eastAsia"/>
        </w:rPr>
      </w:pPr>
      <w:r w:rsidRPr="009612B9">
        <w:rPr>
          <w:rFonts w:asciiTheme="majorEastAsia" w:eastAsiaTheme="majorEastAsia" w:hAnsiTheme="majorEastAsia" w:hint="eastAsia"/>
        </w:rPr>
        <w:t>２　意見の内容及び意見に対する県の考え方</w:t>
      </w:r>
    </w:p>
    <w:tbl>
      <w:tblPr>
        <w:tblStyle w:val="a3"/>
        <w:tblW w:w="0" w:type="auto"/>
        <w:tblInd w:w="108" w:type="dxa"/>
        <w:tblLook w:val="04A0" w:firstRow="1" w:lastRow="0" w:firstColumn="1" w:lastColumn="0" w:noHBand="0" w:noVBand="1"/>
      </w:tblPr>
      <w:tblGrid>
        <w:gridCol w:w="624"/>
        <w:gridCol w:w="4465"/>
        <w:gridCol w:w="4465"/>
      </w:tblGrid>
      <w:tr w:rsidR="009612B9" w:rsidTr="005850E0">
        <w:tc>
          <w:tcPr>
            <w:tcW w:w="624" w:type="dxa"/>
            <w:shd w:val="clear" w:color="auto" w:fill="D9D9D9" w:themeFill="background1" w:themeFillShade="D9"/>
          </w:tcPr>
          <w:p w:rsidR="009612B9" w:rsidRPr="005850E0" w:rsidRDefault="009612B9">
            <w:pPr>
              <w:rPr>
                <w:sz w:val="18"/>
              </w:rPr>
            </w:pPr>
            <w:r w:rsidRPr="005850E0">
              <w:rPr>
                <w:rFonts w:hint="eastAsia"/>
                <w:sz w:val="18"/>
              </w:rPr>
              <w:t>番号</w:t>
            </w:r>
          </w:p>
        </w:tc>
        <w:tc>
          <w:tcPr>
            <w:tcW w:w="4465" w:type="dxa"/>
            <w:shd w:val="clear" w:color="auto" w:fill="D9D9D9" w:themeFill="background1" w:themeFillShade="D9"/>
          </w:tcPr>
          <w:p w:rsidR="009612B9" w:rsidRPr="005850E0" w:rsidRDefault="009612B9" w:rsidP="009612B9">
            <w:pPr>
              <w:jc w:val="center"/>
              <w:rPr>
                <w:sz w:val="18"/>
              </w:rPr>
            </w:pPr>
            <w:r w:rsidRPr="005850E0">
              <w:rPr>
                <w:rFonts w:hint="eastAsia"/>
                <w:sz w:val="18"/>
              </w:rPr>
              <w:t>意見の内容</w:t>
            </w:r>
          </w:p>
        </w:tc>
        <w:tc>
          <w:tcPr>
            <w:tcW w:w="4465" w:type="dxa"/>
            <w:shd w:val="clear" w:color="auto" w:fill="D9D9D9" w:themeFill="background1" w:themeFillShade="D9"/>
          </w:tcPr>
          <w:p w:rsidR="009612B9" w:rsidRPr="005850E0" w:rsidRDefault="009612B9" w:rsidP="009612B9">
            <w:pPr>
              <w:jc w:val="center"/>
              <w:rPr>
                <w:sz w:val="18"/>
              </w:rPr>
            </w:pPr>
            <w:r w:rsidRPr="005850E0">
              <w:rPr>
                <w:rFonts w:hint="eastAsia"/>
                <w:sz w:val="18"/>
              </w:rPr>
              <w:t>意見に対する県の考え方</w:t>
            </w:r>
          </w:p>
        </w:tc>
      </w:tr>
      <w:tr w:rsidR="009612B9" w:rsidTr="005850E0">
        <w:tc>
          <w:tcPr>
            <w:tcW w:w="624" w:type="dxa"/>
          </w:tcPr>
          <w:p w:rsidR="009612B9" w:rsidRPr="005850E0" w:rsidRDefault="009612B9" w:rsidP="009612B9">
            <w:pPr>
              <w:jc w:val="center"/>
              <w:rPr>
                <w:sz w:val="18"/>
              </w:rPr>
            </w:pPr>
            <w:r w:rsidRPr="005850E0">
              <w:rPr>
                <w:rFonts w:hint="eastAsia"/>
                <w:sz w:val="18"/>
              </w:rPr>
              <w:t>１</w:t>
            </w:r>
          </w:p>
        </w:tc>
        <w:tc>
          <w:tcPr>
            <w:tcW w:w="4465" w:type="dxa"/>
          </w:tcPr>
          <w:p w:rsidR="005850E0" w:rsidRDefault="005850E0" w:rsidP="005850E0">
            <w:pPr>
              <w:rPr>
                <w:rFonts w:hint="eastAsia"/>
                <w:sz w:val="18"/>
                <w:u w:val="single"/>
              </w:rPr>
            </w:pPr>
            <w:r w:rsidRPr="005850E0">
              <w:rPr>
                <w:rFonts w:hint="eastAsia"/>
                <w:sz w:val="18"/>
                <w:u w:val="single"/>
              </w:rPr>
              <w:t>P50</w:t>
            </w:r>
            <w:r w:rsidRPr="005850E0">
              <w:rPr>
                <w:rFonts w:hint="eastAsia"/>
                <w:sz w:val="18"/>
                <w:u w:val="single"/>
              </w:rPr>
              <w:t xml:space="preserve">　市街化調整区域における開発許可制度の適切・柔軟な運用</w:t>
            </w:r>
          </w:p>
          <w:p w:rsidR="005850E0" w:rsidRPr="005850E0" w:rsidRDefault="005850E0" w:rsidP="005850E0">
            <w:pPr>
              <w:rPr>
                <w:rFonts w:hint="eastAsia"/>
                <w:sz w:val="18"/>
                <w:u w:val="single"/>
              </w:rPr>
            </w:pPr>
          </w:p>
          <w:p w:rsidR="005850E0" w:rsidRPr="005850E0" w:rsidRDefault="005850E0" w:rsidP="005850E0">
            <w:pPr>
              <w:rPr>
                <w:rFonts w:hint="eastAsia"/>
                <w:sz w:val="18"/>
              </w:rPr>
            </w:pPr>
            <w:r w:rsidRPr="005850E0">
              <w:rPr>
                <w:rFonts w:hint="eastAsia"/>
                <w:sz w:val="18"/>
              </w:rPr>
              <w:t>地域の産業の活性化を図るためには，高速道路ＩＣ周辺などにおける新たな開発だけでなく，既存ストックを有効活用できるよう，既存工業地の周辺においても，柔軟に開発許可の基準の見直しなどを行う地区に含めてもらいたい。</w:t>
            </w:r>
          </w:p>
          <w:p w:rsidR="009612B9" w:rsidRDefault="005850E0" w:rsidP="005850E0">
            <w:pPr>
              <w:rPr>
                <w:rFonts w:hint="eastAsia"/>
                <w:sz w:val="18"/>
              </w:rPr>
            </w:pPr>
            <w:r w:rsidRPr="005850E0">
              <w:rPr>
                <w:rFonts w:hint="eastAsia"/>
                <w:sz w:val="18"/>
              </w:rPr>
              <w:t>また，文脈が不明確であり，記載内容を以下のようにしていただきたい。</w:t>
            </w:r>
          </w:p>
          <w:p w:rsidR="005850E0" w:rsidRDefault="005850E0" w:rsidP="005850E0">
            <w:pPr>
              <w:rPr>
                <w:rFonts w:hint="eastAsia"/>
                <w:sz w:val="18"/>
              </w:rPr>
            </w:pPr>
            <w:r>
              <w:rPr>
                <w:rFonts w:hint="eastAsia"/>
                <w:noProof/>
                <w:sz w:val="18"/>
              </w:rPr>
              <mc:AlternateContent>
                <mc:Choice Requires="wps">
                  <w:drawing>
                    <wp:anchor distT="0" distB="0" distL="114300" distR="114300" simplePos="0" relativeHeight="251659264" behindDoc="0" locked="0" layoutInCell="1" allowOverlap="1">
                      <wp:simplePos x="0" y="0"/>
                      <wp:positionH relativeFrom="column">
                        <wp:posOffset>22788</wp:posOffset>
                      </wp:positionH>
                      <wp:positionV relativeFrom="paragraph">
                        <wp:posOffset>213083</wp:posOffset>
                      </wp:positionV>
                      <wp:extent cx="2648310" cy="2294627"/>
                      <wp:effectExtent l="0" t="0" r="19050" b="10795"/>
                      <wp:wrapNone/>
                      <wp:docPr id="1" name="正方形/長方形 1"/>
                      <wp:cNvGraphicFramePr/>
                      <a:graphic xmlns:a="http://schemas.openxmlformats.org/drawingml/2006/main">
                        <a:graphicData uri="http://schemas.microsoft.com/office/word/2010/wordprocessingShape">
                          <wps:wsp>
                            <wps:cNvSpPr/>
                            <wps:spPr>
                              <a:xfrm>
                                <a:off x="0" y="0"/>
                                <a:ext cx="2648310" cy="229462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1.8pt;margin-top:16.8pt;width:208.55pt;height:180.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" filled="f" strokecolor="black [3213]" strokeweight=".5pt"/>
                  </w:pict>
                </mc:Fallback>
              </mc:AlternateContent>
            </w:r>
          </w:p>
          <w:p w:rsidR="005850E0" w:rsidRPr="005850E0" w:rsidRDefault="005850E0" w:rsidP="005850E0">
            <w:pPr>
              <w:ind w:leftChars="100" w:left="390" w:rightChars="76" w:right="160" w:hangingChars="100" w:hanging="180"/>
              <w:rPr>
                <w:rFonts w:hint="eastAsia"/>
                <w:sz w:val="18"/>
              </w:rPr>
            </w:pPr>
            <w:r w:rsidRPr="005850E0">
              <w:rPr>
                <w:rFonts w:hint="eastAsia"/>
                <w:sz w:val="18"/>
              </w:rPr>
              <w:t>○</w:t>
            </w:r>
            <w:r w:rsidRPr="005850E0">
              <w:rPr>
                <w:rFonts w:hint="eastAsia"/>
                <w:strike/>
                <w:sz w:val="18"/>
              </w:rPr>
              <w:t>市街化調整区域に位置付けられたことで，開発行為や建築行為が厳しく制限され，</w:t>
            </w:r>
            <w:r w:rsidRPr="005850E0">
              <w:rPr>
                <w:rFonts w:hint="eastAsia"/>
                <w:sz w:val="18"/>
              </w:rPr>
              <w:t>人口減少によりコミュニティの衰退や社会経済情勢の変化などへの対応が困難となっている既存集落地区</w:t>
            </w:r>
          </w:p>
          <w:p w:rsidR="005850E0" w:rsidRDefault="005850E0" w:rsidP="005850E0">
            <w:pPr>
              <w:ind w:left="360" w:rightChars="76" w:right="160" w:hangingChars="200" w:hanging="360"/>
              <w:rPr>
                <w:rFonts w:hint="eastAsia"/>
                <w:sz w:val="18"/>
              </w:rPr>
            </w:pPr>
            <w:r w:rsidRPr="005850E0">
              <w:rPr>
                <w:rFonts w:hint="eastAsia"/>
                <w:sz w:val="18"/>
              </w:rPr>
              <w:t xml:space="preserve">　○</w:t>
            </w:r>
            <w:r w:rsidRPr="005850E0">
              <w:rPr>
                <w:rFonts w:hint="eastAsia"/>
                <w:strike/>
                <w:sz w:val="18"/>
              </w:rPr>
              <w:t>高速道路ＩＣ周辺などで，</w:t>
            </w:r>
            <w:r w:rsidRPr="005850E0">
              <w:rPr>
                <w:rFonts w:hint="eastAsia"/>
                <w:sz w:val="18"/>
              </w:rPr>
              <w:t>産業系用地としての需要が高く，地域の産業の活性化が期待される</w:t>
            </w:r>
            <w:r w:rsidRPr="005850E0">
              <w:rPr>
                <w:rFonts w:hint="eastAsia"/>
                <w:sz w:val="18"/>
              </w:rPr>
              <w:t xml:space="preserve"> </w:t>
            </w:r>
            <w:r w:rsidRPr="005850E0">
              <w:rPr>
                <w:rFonts w:hint="eastAsia"/>
                <w:sz w:val="18"/>
                <w:u w:val="single"/>
              </w:rPr>
              <w:t>既存工業地や高速道路ＩＣ周辺などの</w:t>
            </w:r>
            <w:r w:rsidRPr="005850E0">
              <w:rPr>
                <w:rFonts w:hint="eastAsia"/>
                <w:sz w:val="18"/>
              </w:rPr>
              <w:t xml:space="preserve"> </w:t>
            </w:r>
            <w:r w:rsidRPr="005850E0">
              <w:rPr>
                <w:rFonts w:hint="eastAsia"/>
                <w:strike/>
                <w:sz w:val="18"/>
              </w:rPr>
              <w:t>ものの，そのままでは無秩序な開発が懸念される</w:t>
            </w:r>
            <w:r w:rsidRPr="005850E0">
              <w:rPr>
                <w:rFonts w:hint="eastAsia"/>
                <w:sz w:val="18"/>
              </w:rPr>
              <w:t xml:space="preserve"> </w:t>
            </w:r>
            <w:r w:rsidRPr="005850E0">
              <w:rPr>
                <w:rFonts w:hint="eastAsia"/>
                <w:sz w:val="18"/>
              </w:rPr>
              <w:t>地区</w:t>
            </w:r>
          </w:p>
          <w:p w:rsidR="005850E0" w:rsidRPr="005850E0" w:rsidRDefault="005850E0" w:rsidP="005850E0">
            <w:pPr>
              <w:ind w:left="180" w:rightChars="76" w:right="160" w:hangingChars="100" w:hanging="180"/>
              <w:rPr>
                <w:sz w:val="18"/>
              </w:rPr>
            </w:pPr>
          </w:p>
        </w:tc>
        <w:tc>
          <w:tcPr>
            <w:tcW w:w="4465" w:type="dxa"/>
          </w:tcPr>
          <w:p w:rsidR="005850E0" w:rsidRDefault="005850E0" w:rsidP="005850E0">
            <w:pPr>
              <w:spacing w:line="340" w:lineRule="exact"/>
              <w:rPr>
                <w:sz w:val="18"/>
              </w:rPr>
            </w:pPr>
            <w:r>
              <w:rPr>
                <w:rFonts w:hint="eastAsia"/>
                <w:sz w:val="18"/>
              </w:rPr>
              <w:t>ご指摘のとおり，既存ストックの有効活用だけでなく，地域の産業振興や雇用確保の観点においても，既存工業地の維持や活性化を図ることは重要であるため，既存工業地周辺に係る記載を追加します。</w:t>
            </w:r>
          </w:p>
          <w:p w:rsidR="009612B9" w:rsidRDefault="005850E0" w:rsidP="005850E0">
            <w:pPr>
              <w:rPr>
                <w:rFonts w:hint="eastAsia"/>
                <w:sz w:val="18"/>
              </w:rPr>
            </w:pPr>
            <w:r>
              <w:rPr>
                <w:rFonts w:hint="eastAsia"/>
                <w:sz w:val="18"/>
              </w:rPr>
              <w:t>また，既存工業地周辺における開発は，開発許可の基準の見直しの他にも，地区計画制度の活用が考えられることから，地区計画制度に係る記載を併せて追加します。</w:t>
            </w:r>
          </w:p>
          <w:p w:rsidR="005850E0" w:rsidRPr="005850E0" w:rsidRDefault="005850E0" w:rsidP="005850E0">
            <w:pPr>
              <w:rPr>
                <w:sz w:val="18"/>
              </w:rPr>
            </w:pPr>
            <w:r>
              <w:rPr>
                <w:rFonts w:hint="eastAsia"/>
                <w:sz w:val="18"/>
              </w:rPr>
              <w:t>次に，既存集落地区に関して文脈が不明確であるという意見については，市街化調整区域に位置づけられたことで，</w:t>
            </w:r>
            <w:r w:rsidRPr="00FA5608">
              <w:rPr>
                <w:rFonts w:hint="eastAsia"/>
                <w:sz w:val="18"/>
              </w:rPr>
              <w:t>人口減少による</w:t>
            </w:r>
            <w:r>
              <w:rPr>
                <w:rFonts w:hint="eastAsia"/>
                <w:sz w:val="18"/>
              </w:rPr>
              <w:t>コミュニティの衰退や社会経済情勢の変化などへの対応が困難となっているという因果関係が明確となるよう，表現を見直します。</w:t>
            </w:r>
          </w:p>
        </w:tc>
      </w:tr>
    </w:tbl>
    <w:p w:rsidR="005850E0" w:rsidRDefault="005850E0">
      <w:r>
        <w:br w:type="page"/>
      </w:r>
    </w:p>
    <w:tbl>
      <w:tblPr>
        <w:tblStyle w:val="a3"/>
        <w:tblW w:w="0" w:type="auto"/>
        <w:tblInd w:w="108" w:type="dxa"/>
        <w:tblLook w:val="04A0" w:firstRow="1" w:lastRow="0" w:firstColumn="1" w:lastColumn="0" w:noHBand="0" w:noVBand="1"/>
      </w:tblPr>
      <w:tblGrid>
        <w:gridCol w:w="624"/>
        <w:gridCol w:w="4465"/>
        <w:gridCol w:w="4465"/>
      </w:tblGrid>
      <w:tr w:rsidR="009612B9" w:rsidTr="005850E0">
        <w:tc>
          <w:tcPr>
            <w:tcW w:w="624" w:type="dxa"/>
          </w:tcPr>
          <w:p w:rsidR="009612B9" w:rsidRPr="005850E0" w:rsidRDefault="009612B9" w:rsidP="009612B9">
            <w:pPr>
              <w:jc w:val="center"/>
              <w:rPr>
                <w:sz w:val="18"/>
              </w:rPr>
            </w:pPr>
            <w:r w:rsidRPr="005850E0">
              <w:rPr>
                <w:rFonts w:hint="eastAsia"/>
                <w:sz w:val="18"/>
              </w:rPr>
              <w:lastRenderedPageBreak/>
              <w:t>２</w:t>
            </w:r>
          </w:p>
        </w:tc>
        <w:tc>
          <w:tcPr>
            <w:tcW w:w="4465" w:type="dxa"/>
          </w:tcPr>
          <w:p w:rsidR="005850E0" w:rsidRPr="005850E0" w:rsidRDefault="005850E0" w:rsidP="005850E0">
            <w:pPr>
              <w:rPr>
                <w:rFonts w:hint="eastAsia"/>
                <w:sz w:val="18"/>
              </w:rPr>
            </w:pPr>
            <w:r w:rsidRPr="005850E0">
              <w:rPr>
                <w:rFonts w:hint="eastAsia"/>
                <w:sz w:val="18"/>
              </w:rPr>
              <w:t>単純に住みやすい街づくりをお願いしたいです。</w:t>
            </w:r>
          </w:p>
          <w:p w:rsidR="005850E0" w:rsidRPr="005850E0" w:rsidRDefault="005850E0" w:rsidP="005850E0">
            <w:pPr>
              <w:rPr>
                <w:rFonts w:hint="eastAsia"/>
                <w:sz w:val="18"/>
              </w:rPr>
            </w:pPr>
            <w:r w:rsidRPr="005850E0">
              <w:rPr>
                <w:rFonts w:hint="eastAsia"/>
                <w:sz w:val="18"/>
              </w:rPr>
              <w:t>そのために、「安全・安心に暮らせる都市」の中に防災がほとんどで、子育て世帯や子供自体、</w:t>
            </w:r>
            <w:bookmarkStart w:id="0" w:name="_GoBack"/>
            <w:bookmarkEnd w:id="0"/>
            <w:r w:rsidRPr="005850E0">
              <w:rPr>
                <w:rFonts w:hint="eastAsia"/>
                <w:sz w:val="18"/>
              </w:rPr>
              <w:t>ひいては大人も安全で快適に暮らせることがほとんどないのが残念です。</w:t>
            </w:r>
          </w:p>
          <w:p w:rsidR="005850E0" w:rsidRPr="005850E0" w:rsidRDefault="005850E0" w:rsidP="005850E0">
            <w:pPr>
              <w:rPr>
                <w:rFonts w:hint="eastAsia"/>
                <w:sz w:val="18"/>
              </w:rPr>
            </w:pPr>
            <w:r w:rsidRPr="005850E0">
              <w:rPr>
                <w:rFonts w:hint="eastAsia"/>
                <w:sz w:val="18"/>
              </w:rPr>
              <w:t>きちんと開発されなくて市街化調整区域のまま待ちになってしまい、子供が遊ぶ公園も近くになく、細い道や抜け道のように使われる危険な道が通学路になっていたり、非常に残念な都市づくりが見受けられます。</w:t>
            </w:r>
          </w:p>
          <w:p w:rsidR="005850E0" w:rsidRPr="005850E0" w:rsidRDefault="005850E0" w:rsidP="005850E0">
            <w:pPr>
              <w:rPr>
                <w:rFonts w:hint="eastAsia"/>
                <w:sz w:val="18"/>
              </w:rPr>
            </w:pPr>
            <w:r w:rsidRPr="005850E0">
              <w:rPr>
                <w:rFonts w:hint="eastAsia"/>
                <w:sz w:val="18"/>
              </w:rPr>
              <w:t>ぜひ、公園、通学路、自転車道路、ベビーカーなども通れる歩道など考えられた都市づくりが当たり前になるように方針を立てていただきたいと思います。</w:t>
            </w:r>
          </w:p>
          <w:p w:rsidR="005850E0" w:rsidRPr="005850E0" w:rsidRDefault="005850E0" w:rsidP="005850E0">
            <w:pPr>
              <w:rPr>
                <w:sz w:val="18"/>
              </w:rPr>
            </w:pPr>
          </w:p>
          <w:p w:rsidR="009612B9" w:rsidRPr="005850E0" w:rsidRDefault="005850E0" w:rsidP="005850E0">
            <w:pPr>
              <w:rPr>
                <w:sz w:val="18"/>
              </w:rPr>
            </w:pPr>
            <w:r w:rsidRPr="005850E0">
              <w:rPr>
                <w:rFonts w:hint="eastAsia"/>
                <w:sz w:val="18"/>
              </w:rPr>
              <w:t>50</w:t>
            </w:r>
            <w:r w:rsidRPr="005850E0">
              <w:rPr>
                <w:rFonts w:hint="eastAsia"/>
                <w:sz w:val="18"/>
              </w:rPr>
              <w:t>連たんでの問題がありましたが、根本的なところで、そもそも、そういったところを事前に市街化区域として都市開発を行えばよいだけなのではないでしょうか？都市開発を適切に行っていれば防げたカオスが広島には多々あります。</w:t>
            </w:r>
          </w:p>
        </w:tc>
        <w:tc>
          <w:tcPr>
            <w:tcW w:w="4465" w:type="dxa"/>
          </w:tcPr>
          <w:p w:rsidR="003A5634" w:rsidRPr="003A5634" w:rsidRDefault="003A5634" w:rsidP="003A5634">
            <w:pPr>
              <w:rPr>
                <w:rFonts w:hint="eastAsia"/>
                <w:sz w:val="18"/>
              </w:rPr>
            </w:pPr>
            <w:r w:rsidRPr="003A5634">
              <w:rPr>
                <w:rFonts w:hint="eastAsia"/>
                <w:sz w:val="18"/>
              </w:rPr>
              <w:t>ご意見のありました，「安全・安心に暮らせる都市」の実現に向けた運用方策において，安全で快適に暮らせる上で必要な通学路、自転車道路、ベビーカーなども通れる歩道については，広島県都市計画制度運用方針（</w:t>
            </w:r>
            <w:r>
              <w:rPr>
                <w:rFonts w:hint="eastAsia"/>
                <w:sz w:val="18"/>
              </w:rPr>
              <w:t>素案</w:t>
            </w:r>
            <w:r w:rsidRPr="003A5634">
              <w:rPr>
                <w:rFonts w:hint="eastAsia"/>
                <w:sz w:val="18"/>
              </w:rPr>
              <w:t>）の</w:t>
            </w:r>
            <w:r w:rsidRPr="003A5634">
              <w:rPr>
                <w:rFonts w:hint="eastAsia"/>
                <w:sz w:val="18"/>
              </w:rPr>
              <w:t>68</w:t>
            </w:r>
            <w:r w:rsidRPr="003A5634">
              <w:rPr>
                <w:rFonts w:hint="eastAsia"/>
                <w:sz w:val="18"/>
              </w:rPr>
              <w:t>ページ，「（ア）中心市街地，周辺の拠点地区に求められる市街地整備のあり方」『（ａ）歩きやすく移動しやすい都市空間づくり』において，歩道や公共施設などのバリアフリー化，住宅街などの生活道路における歩道整備やハンプの整備などの方針を位置付けており，原案のままとします。</w:t>
            </w:r>
          </w:p>
          <w:p w:rsidR="009612B9" w:rsidRDefault="003A5634" w:rsidP="003A5634">
            <w:pPr>
              <w:rPr>
                <w:rFonts w:hint="eastAsia"/>
                <w:sz w:val="18"/>
              </w:rPr>
            </w:pPr>
            <w:r w:rsidRPr="003A5634">
              <w:rPr>
                <w:rFonts w:hint="eastAsia"/>
                <w:sz w:val="18"/>
              </w:rPr>
              <w:t>次に，ご意見のありました，公園の整備に関する方針については，「魅力あふれる都市」の将来像に向けた運用方策において項目を追加し，内容の充実を図ります。</w:t>
            </w:r>
          </w:p>
          <w:p w:rsidR="003A5634" w:rsidRDefault="003A5634" w:rsidP="003A5634">
            <w:pPr>
              <w:rPr>
                <w:rFonts w:hint="eastAsia"/>
                <w:sz w:val="18"/>
              </w:rPr>
            </w:pPr>
          </w:p>
          <w:p w:rsidR="003A5634" w:rsidRPr="003A5634" w:rsidRDefault="003A5634" w:rsidP="003A5634">
            <w:pPr>
              <w:rPr>
                <w:rFonts w:hint="eastAsia"/>
                <w:sz w:val="18"/>
              </w:rPr>
            </w:pPr>
            <w:r w:rsidRPr="003A5634">
              <w:rPr>
                <w:rFonts w:hint="eastAsia"/>
                <w:sz w:val="18"/>
              </w:rPr>
              <w:t>50</w:t>
            </w:r>
            <w:r w:rsidRPr="003A5634">
              <w:rPr>
                <w:rFonts w:hint="eastAsia"/>
                <w:sz w:val="18"/>
              </w:rPr>
              <w:t>戸連たんについてですが，本制度は，市街化調整区域において行われる開発行為の許可制度であり，市街化区域へ編入することを前提としていません。</w:t>
            </w:r>
          </w:p>
          <w:p w:rsidR="003A5634" w:rsidRPr="003A5634" w:rsidRDefault="003A5634" w:rsidP="003A5634">
            <w:pPr>
              <w:rPr>
                <w:rFonts w:hint="eastAsia"/>
                <w:sz w:val="18"/>
              </w:rPr>
            </w:pPr>
            <w:r w:rsidRPr="003A5634">
              <w:rPr>
                <w:rFonts w:hint="eastAsia"/>
                <w:sz w:val="18"/>
              </w:rPr>
              <w:t>ご指摘のように，市街化区域へ編入して市街化すべき地区については，これまで本県においても，市街化区域へ編入した上で，計画的に開発を誘導するよう努めてきました。</w:t>
            </w:r>
          </w:p>
          <w:p w:rsidR="003A5634" w:rsidRPr="005850E0" w:rsidRDefault="003A5634" w:rsidP="003A5634">
            <w:pPr>
              <w:rPr>
                <w:sz w:val="18"/>
              </w:rPr>
            </w:pPr>
            <w:r w:rsidRPr="003A5634">
              <w:rPr>
                <w:rFonts w:hint="eastAsia"/>
                <w:sz w:val="18"/>
              </w:rPr>
              <w:t>このような基本的な考えに基づき，この度改定する広島県都市計画制度運用方針の</w:t>
            </w:r>
            <w:r w:rsidRPr="003A5634">
              <w:rPr>
                <w:rFonts w:hint="eastAsia"/>
                <w:sz w:val="18"/>
              </w:rPr>
              <w:t>50</w:t>
            </w:r>
            <w:r w:rsidRPr="003A5634">
              <w:rPr>
                <w:rFonts w:hint="eastAsia"/>
                <w:sz w:val="18"/>
              </w:rPr>
              <w:t>ページ，「（ア）線引き都市計画区域における土地利用の方針」『（ｇ）市街化調整区域における開発許可制度の適切・柔軟な運用』において，</w:t>
            </w:r>
            <w:r w:rsidRPr="003A5634">
              <w:rPr>
                <w:rFonts w:hint="eastAsia"/>
                <w:sz w:val="18"/>
              </w:rPr>
              <w:t>50</w:t>
            </w:r>
            <w:r w:rsidRPr="003A5634">
              <w:rPr>
                <w:rFonts w:hint="eastAsia"/>
                <w:sz w:val="18"/>
              </w:rPr>
              <w:t>戸連たんなどの開発許可は，不良な街区形成につながる事例もあり，また，都市のスプロール化を進行させる要因の１つとなっていることから，今後は，市町の実情に応じた必要最低限の運用となるよう見直しや廃止を含めた検討を行うことを位置づけています。</w:t>
            </w:r>
          </w:p>
        </w:tc>
      </w:tr>
    </w:tbl>
    <w:p w:rsidR="009612B9" w:rsidRDefault="009612B9"/>
    <w:sectPr w:rsidR="009612B9" w:rsidSect="005850E0">
      <w:pgSz w:w="11906" w:h="16838"/>
      <w:pgMar w:top="1985" w:right="1134"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2B9"/>
    <w:rsid w:val="003A5634"/>
    <w:rsid w:val="005850E0"/>
    <w:rsid w:val="0091421E"/>
    <w:rsid w:val="009612B9"/>
    <w:rsid w:val="00A54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1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1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288</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1</cp:revision>
  <dcterms:created xsi:type="dcterms:W3CDTF">2019-11-22T04:41:00Z</dcterms:created>
  <dcterms:modified xsi:type="dcterms:W3CDTF">2019-11-22T05:05:00Z</dcterms:modified>
</cp:coreProperties>
</file>