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993"/>
          <w:tab w:val="left" w:leader="none" w:pos="1276"/>
        </w:tabs>
        <w:contextualSpacing w:val="1"/>
        <w:mirrorIndents w:val="1"/>
        <w:jc w:val="left"/>
        <w:rPr>
          <w:rFonts w:hint="default" w:ascii="游ゴシック" w:hAnsi="游ゴシック" w:eastAsia="游ゴシック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5452110</wp:posOffset>
                </wp:positionH>
                <wp:positionV relativeFrom="paragraph">
                  <wp:posOffset>3810</wp:posOffset>
                </wp:positionV>
                <wp:extent cx="914400" cy="1828800"/>
                <wp:effectExtent l="635" t="635" r="29845" b="10795"/>
                <wp:wrapSquare wrapText="bothSides"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別紙２－⑶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6;mso-wrap-distance-left:9pt;width:72pt;height:144pt;mso-wrap-mode:square;mso-position-horizontal-relative:margin;position:absolute;margin-left:429.3pt;margin-top:0.3pt;mso-wrap-distance-bottom:0pt;mso-wrap-distance-right:9pt;mso-wrap-distance-top:0pt;v-text-anchor:top;" o:spid="_x0000_s1026" o:allowincell="t" o:allowoverlap="t" filled="f" stroked="t" strokecolor="#000000" strokeweight="0.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別紙２－⑶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/>
          <w:sz w:val="24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margin">
              <wp:posOffset>3667125</wp:posOffset>
            </wp:positionH>
            <wp:positionV relativeFrom="paragraph">
              <wp:posOffset>375285</wp:posOffset>
            </wp:positionV>
            <wp:extent cx="2609850" cy="647700"/>
            <wp:effectExtent l="0" t="0" r="0" b="0"/>
            <wp:wrapNone/>
            <wp:docPr id="1027" name="図 1050197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図 105019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tabs>
          <w:tab w:val="left" w:leader="none" w:pos="993"/>
          <w:tab w:val="left" w:leader="none" w:pos="1276"/>
        </w:tabs>
        <w:contextualSpacing w:val="1"/>
        <w:mirrorIndents w:val="1"/>
        <w:jc w:val="left"/>
        <w:rPr>
          <w:rFonts w:hint="default" w:ascii="游ゴシック" w:hAnsi="游ゴシック" w:eastAsia="游ゴシック"/>
          <w:b w:val="1"/>
          <w:sz w:val="28"/>
        </w:rPr>
      </w:pPr>
      <w:r>
        <w:rPr>
          <w:rFonts w:hint="eastAsia" w:ascii="游ゴシック" w:hAnsi="游ゴシック" w:eastAsia="游ゴシック"/>
          <w:b w:val="1"/>
          <w:sz w:val="28"/>
        </w:rPr>
        <w:t>動画を活用した研修の展開例</w:t>
      </w:r>
    </w:p>
    <w:p>
      <w:pPr>
        <w:pStyle w:val="0"/>
        <w:tabs>
          <w:tab w:val="left" w:leader="none" w:pos="993"/>
          <w:tab w:val="left" w:leader="none" w:pos="1276"/>
        </w:tabs>
        <w:contextualSpacing w:val="1"/>
        <w:mirrorIndents w:val="1"/>
        <w:jc w:val="left"/>
        <w:rPr>
          <w:rFonts w:hint="default"/>
        </w:rPr>
      </w:pPr>
      <w:r>
        <w:rPr>
          <w:rFonts w:hint="eastAsia" w:ascii="游ゴシック" w:hAnsi="游ゴシック" w:eastAsia="游ゴシック"/>
          <w:b w:val="1"/>
          <w:sz w:val="28"/>
        </w:rPr>
        <w:t>⑶　学校運営協議会での熟議等</w:t>
      </w:r>
    </w:p>
    <w:tbl>
      <w:tblPr>
        <w:tblStyle w:val="11"/>
        <w:tblW w:w="953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3"/>
        <w:gridCol w:w="826"/>
        <w:gridCol w:w="5270"/>
        <w:gridCol w:w="2976"/>
      </w:tblGrid>
      <w:tr>
        <w:trPr>
          <w:trHeight w:val="622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時　間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内　　　　　容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留意点（環境設定など）</w:t>
            </w:r>
          </w:p>
        </w:tc>
      </w:tr>
      <w:tr>
        <w:trPr>
          <w:cantSplit/>
          <w:trHeight w:val="1134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事前準備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○　運営の事前準備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・研修のねらい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を明確にし、協議テーマを設定する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・グループ分け（進行役を決めておく）</w:t>
            </w:r>
          </w:p>
          <w:p>
            <w:pPr>
              <w:pStyle w:val="0"/>
              <w:ind w:left="366" w:hanging="366" w:hangingChars="2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・ワークシート、模造紙、付箋、マジック、ホワイトボード等の準備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83" w:hanging="18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・現状や課題を踏まえた協議テーマとする</w:t>
            </w: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・４～５人程度のグループワークができるように、グループ分け、机の配置をしておく　</w:t>
            </w: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・名札の準備</w:t>
            </w:r>
          </w:p>
        </w:tc>
      </w:tr>
      <w:tr>
        <w:trPr>
          <w:cantSplit/>
          <w:trHeight w:val="2059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はじめに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05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〇　校長（又は会長）挨拶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　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○　研修の流れ説明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１　ねらい　</w:t>
            </w: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２　動画視聴　</w:t>
            </w: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３　協議　</w:t>
            </w: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４　まとめ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・学校の現状、管理職の意識等を踏まえた「研修のねらい」を設定する。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・スケジュールを示す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〈初対面の場合〉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・アイスブレイクグループ内で自己紹</w:t>
            </w:r>
          </w:p>
          <w:p>
            <w:pPr>
              <w:pStyle w:val="0"/>
              <w:ind w:left="193" w:left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介を行うなど緊張感をなくして、安心して発言できる雰囲気づくりを行う</w:t>
            </w:r>
          </w:p>
        </w:tc>
      </w:tr>
      <w:tr>
        <w:trPr>
          <w:cantSplit/>
          <w:trHeight w:val="1465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動画視聴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</w:p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(30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)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○　実践発表動画視聴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98425</wp:posOffset>
                      </wp:positionV>
                      <wp:extent cx="2571750" cy="285750"/>
                      <wp:effectExtent l="635" t="635" r="29845" b="10795"/>
                      <wp:wrapNone/>
                      <wp:docPr id="1028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1"/>
                            <wps:cNvSpPr/>
                            <wps:spPr>
                              <a:xfrm>
                                <a:off x="0" y="0"/>
                                <a:ext cx="2571750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contextualSpacing w:val="1"/>
                                    <w:mirrorIndents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color w:val="000000" w:themeColor="text1"/>
                                      <w:sz w:val="20"/>
                                    </w:rPr>
                                    <w:t>〇　講評動画視聴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（←「協議」後の視聴も可）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position-vertical-relative:text;z-index:3;mso-wrap-distance-left:9pt;width:202.5pt;height:22.5pt;mso-position-horizontal-relative:text;position:absolute;margin-left:-5.e-002pt;margin-top:7.75pt;mso-wrap-distance-bottom:0pt;mso-wrap-distance-right:9pt;mso-wrap-distance-top:0pt;v-text-anchor:middle;" o:spid="_x0000_s1028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contextualSpacing w:val="1"/>
                              <w:mirrorIndents w:val="1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20"/>
                              </w:rPr>
                              <w:t>〇　講評動画視聴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（←「協議」後の視聴も可）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・ワークシートに記載された、動画で学べる視点等を参考に、視聴しながら付箋などに気づきを書いてもらう</w:t>
            </w: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（ワークシートに記載する方法も）</w:t>
            </w:r>
          </w:p>
        </w:tc>
      </w:tr>
      <w:tr>
        <w:trPr>
          <w:cantSplit/>
          <w:trHeight w:val="1836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　　議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15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〇　グループ別協議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23495</wp:posOffset>
                      </wp:positionV>
                      <wp:extent cx="3009900" cy="276225"/>
                      <wp:effectExtent l="635" t="635" r="29845" b="10795"/>
                      <wp:wrapNone/>
                      <wp:docPr id="102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2"/>
                            <wps:cNvSpPr txBox="1"/>
                            <wps:spPr>
                              <a:xfrm>
                                <a:off x="0" y="0"/>
                                <a:ext cx="3009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000000" w:themeColor="text1"/>
                                    </w:rPr>
                                    <w:t>協議テーマ（※協議テーマの例を参考に設定する）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2;mso-wrap-distance-left:9pt;width:237pt;height:21.75pt;mso-position-horizontal-relative:text;position:absolute;margin-left:7.45pt;margin-top:1.85pt;mso-wrap-distance-bottom:0pt;mso-wrap-distance-right:9pt;mso-wrap-distance-top:0pt;v-text-anchor:top;" o:spid="_x0000_s1029" o:allowincell="t" o:allowoverlap="t" filled="t" fillcolor="#ffffff [3201]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協議テーマ（※協議テーマの例を参考に設定する）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・協議テーマに沿って協議を進行（小グループ）</w:t>
            </w:r>
          </w:p>
          <w:p>
            <w:pPr>
              <w:pStyle w:val="0"/>
              <w:ind w:left="376" w:leftChars="100" w:hanging="18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（感想の交流、動画を視聴しての質問、自校で取り組んでみたいこと　等）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・グループの進行役を決める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・一人ひとりがテーマに対する思いを話す。</w:t>
            </w:r>
          </w:p>
        </w:tc>
      </w:tr>
      <w:tr>
        <w:trPr>
          <w:cantSplit/>
          <w:trHeight w:val="1134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まとめ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20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分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(1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  <w:t>0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分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)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90805</wp:posOffset>
                      </wp:positionV>
                      <wp:extent cx="2571750" cy="285750"/>
                      <wp:effectExtent l="635" t="635" r="29845" b="10795"/>
                      <wp:wrapNone/>
                      <wp:docPr id="1030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大かっこ 1"/>
                            <wps:cNvSpPr/>
                            <wps:spPr>
                              <a:xfrm>
                                <a:off x="0" y="0"/>
                                <a:ext cx="2571750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contextualSpacing w:val="1"/>
                                    <w:mirrorIndents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color w:val="000000" w:themeColor="text1"/>
                                      <w:sz w:val="20"/>
                                    </w:rPr>
                                    <w:t>〇　講評動画視聴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（←「協議」前の視聴も可）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position-vertical-relative:text;z-index:4;mso-wrap-distance-left:9pt;width:202.5pt;height:22.5pt;mso-position-horizontal-relative:text;position:absolute;margin-left:0.6pt;margin-top:7.15pt;mso-wrap-distance-bottom:0pt;mso-wrap-distance-right:9pt;mso-wrap-distance-top:0pt;v-text-anchor:middle;" o:spid="_x0000_s1030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contextualSpacing w:val="1"/>
                              <w:mirrorIndents w:val="1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20"/>
                              </w:rPr>
                              <w:t>〇　講評動画視聴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（←「協議」前の視聴も可）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○　全体交流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○　今後の取組の方向性を共有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・協議した内容を整理する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・協議した内容を共有できるように掲示する等、工夫する。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11906" w:h="16838"/>
      <w:pgMar w:top="1134" w:right="1134" w:bottom="1134" w:left="1134" w:header="510" w:footer="510" w:gutter="0"/>
      <w:cols w:space="720"/>
      <w:textDirection w:val="lrTb"/>
      <w:docGrid w:type="linesAndChars" w:linePitch="361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3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6</Words>
  <Characters>655</Characters>
  <Application>JUST Note</Application>
  <Lines>78</Lines>
  <Paragraphs>50</Paragraphs>
  <Company>Hiroshima Prefecture</Company>
  <CharactersWithSpaces>688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里本 佳子</dc:creator>
  <cp:lastModifiedBy>中村 慎矢</cp:lastModifiedBy>
  <dcterms:created xsi:type="dcterms:W3CDTF">2024-02-05T06:41:00Z</dcterms:created>
  <dcterms:modified xsi:type="dcterms:W3CDTF">2024-02-20T09:28:54Z</dcterms:modified>
  <cp:revision>7</cp:revision>
</cp:coreProperties>
</file>