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 w:ascii="游ゴシック" w:hAnsi="游ゴシック" w:eastAsia="游ゴシック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5452110</wp:posOffset>
                </wp:positionH>
                <wp:positionV relativeFrom="paragraph">
                  <wp:posOffset>3810</wp:posOffset>
                </wp:positionV>
                <wp:extent cx="914400" cy="1828800"/>
                <wp:effectExtent l="635" t="635" r="29845" b="10795"/>
                <wp:wrapSquare wrapText="bothSides"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別紙２－⑴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6;mso-wrap-distance-left:9pt;width:72pt;height:144pt;mso-wrap-mode:square;mso-position-horizontal-relative:margin;position:absolute;margin-left:429.3pt;margin-top:0.3pt;mso-wrap-distance-bottom:0pt;mso-wrap-distance-right:9pt;mso-wrap-distance-top:0pt;v-text-anchor:top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別紙２－⑴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/>
          <w:sz w:val="24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margin">
              <wp:posOffset>3667125</wp:posOffset>
            </wp:positionH>
            <wp:positionV relativeFrom="paragraph">
              <wp:posOffset>375285</wp:posOffset>
            </wp:positionV>
            <wp:extent cx="2609850" cy="647700"/>
            <wp:effectExtent l="0" t="0" r="0" b="0"/>
            <wp:wrapNone/>
            <wp:docPr id="1027" name="図 1050197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105019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 w:ascii="游ゴシック" w:hAnsi="游ゴシック" w:eastAsia="游ゴシック"/>
          <w:b w:val="1"/>
          <w:sz w:val="28"/>
        </w:rPr>
      </w:pPr>
      <w:r>
        <w:rPr>
          <w:rFonts w:hint="eastAsia" w:ascii="游ゴシック" w:hAnsi="游ゴシック" w:eastAsia="游ゴシック"/>
          <w:b w:val="1"/>
          <w:sz w:val="28"/>
        </w:rPr>
        <w:t>動画を活用した研修の展開例</w:t>
      </w:r>
    </w:p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/>
        </w:rPr>
      </w:pPr>
      <w:r>
        <w:rPr>
          <w:rFonts w:hint="eastAsia" w:ascii="游ゴシック" w:hAnsi="游ゴシック" w:eastAsia="游ゴシック"/>
          <w:b w:val="1"/>
          <w:sz w:val="28"/>
        </w:rPr>
        <w:t>⑴　市町で開催する管理職研修会等</w:t>
      </w:r>
    </w:p>
    <w:tbl>
      <w:tblPr>
        <w:tblStyle w:val="11"/>
        <w:tblW w:w="953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3"/>
        <w:gridCol w:w="826"/>
        <w:gridCol w:w="5270"/>
        <w:gridCol w:w="2976"/>
      </w:tblGrid>
      <w:tr>
        <w:trPr>
          <w:trHeight w:val="622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時　間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内　　　　　容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留意点（環境設定など）</w:t>
            </w:r>
          </w:p>
        </w:tc>
      </w:tr>
      <w:tr>
        <w:trPr>
          <w:cantSplit/>
          <w:trHeight w:val="1134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事前準備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運営の事前準備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・研修のねらい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を明確にし、協議テーマを設定する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・グループ分け（進行役を決めておく）</w:t>
            </w:r>
          </w:p>
          <w:p>
            <w:pPr>
              <w:pStyle w:val="0"/>
              <w:ind w:left="366" w:hanging="366" w:hangingChars="2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・ワークシート、模造紙、付箋、マジック、ホワイトボード等の準備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83" w:hanging="18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・現状や課題を踏まえた協議テーマとする</w:t>
            </w: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・４～５人程度のグループワークができるように、グループ分け、机の配置をしておく　</w:t>
            </w:r>
          </w:p>
        </w:tc>
      </w:tr>
      <w:tr>
        <w:trPr>
          <w:cantSplit/>
          <w:trHeight w:val="2059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はじめに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05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〇　挨拶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　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研修の流れ説明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１　ねらい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２　動画視聴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３　協議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４　まとめ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・市町の現状、管理職の意識等を踏まえた「研修のねらい」を設定する。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・スケジュールを示す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</w:tc>
      </w:tr>
      <w:tr>
        <w:trPr>
          <w:cantSplit/>
          <w:trHeight w:val="1465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動画視聴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(30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)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実践発表動画視聴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98425</wp:posOffset>
                      </wp:positionV>
                      <wp:extent cx="2571750" cy="285750"/>
                      <wp:effectExtent l="635" t="635" r="29845" b="10795"/>
                      <wp:wrapNone/>
                      <wp:docPr id="1028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1"/>
                            <wps:cNvSpPr/>
                            <wps:spPr>
                              <a:xfrm>
                                <a:off x="0" y="0"/>
                                <a:ext cx="257175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contextualSpacing w:val="1"/>
                                    <w:mirrorIndents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color w:val="000000" w:themeColor="text1"/>
                                      <w:sz w:val="20"/>
                                    </w:rPr>
                                    <w:t>〇　講評動画視聴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（←「協議」後の視聴も可）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3;mso-wrap-distance-left:9pt;width:202.5pt;height:22.5pt;mso-position-horizontal-relative:text;position:absolute;margin-left:-5.e-002pt;margin-top:7.75pt;mso-wrap-distance-bottom:0pt;mso-wrap-distance-right:9pt;mso-wrap-distance-top:0pt;v-text-anchor:middle;" o:spid="_x0000_s1028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contextualSpacing w:val="1"/>
                              <w:mirrorIndents w:val="1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20"/>
                              </w:rPr>
                              <w:t>〇　講評動画視聴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（←「協議」後の視聴も可）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・ワークシートに記載された、動画で学べる視点等を参考に、視聴しながら付箋などに気づきを書いてもらう</w:t>
            </w: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（ワークシートに記載する方法も）</w:t>
            </w:r>
          </w:p>
        </w:tc>
      </w:tr>
      <w:tr>
        <w:trPr>
          <w:cantSplit/>
          <w:trHeight w:val="1836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　　議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15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〇　グループ別協議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23495</wp:posOffset>
                      </wp:positionV>
                      <wp:extent cx="3009900" cy="276225"/>
                      <wp:effectExtent l="635" t="635" r="29845" b="10795"/>
                      <wp:wrapNone/>
                      <wp:docPr id="102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2"/>
                            <wps:cNvSpPr txBox="1"/>
                            <wps:spPr>
                              <a:xfrm>
                                <a:off x="0" y="0"/>
                                <a:ext cx="3009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00" w:themeColor="text1"/>
                                    </w:rPr>
                                    <w:t>協議テーマ（※協議テーマの例を参考に設定する）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2;mso-wrap-distance-left:9pt;width:237pt;height:21.75pt;mso-position-horizontal-relative:text;position:absolute;margin-left:7.45pt;margin-top:1.85pt;mso-wrap-distance-bottom:0pt;mso-wrap-distance-right:9pt;mso-wrap-distance-top:0pt;v-text-anchor:top;" o:spid="_x0000_s1029" o:allowincell="t" o:allowoverlap="t" filled="t" fillcolor="#ffffff [3201]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協議テーマ（※協議テーマの例を参考に設定する）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・協議テーマに沿って協議を進行（小グループ）</w:t>
            </w:r>
          </w:p>
          <w:p>
            <w:pPr>
              <w:pStyle w:val="0"/>
              <w:ind w:left="376" w:leftChars="100" w:hanging="18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（感想の交流、動画を視聴しての質問、自校で取り組んでみたいこと　等）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・グループの進行役を決める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・一人ひとりがテーマに対する思いを話す。</w:t>
            </w:r>
          </w:p>
        </w:tc>
      </w:tr>
      <w:tr>
        <w:trPr>
          <w:cantSplit/>
          <w:trHeight w:val="1134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まとめ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20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分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(10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分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)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90805</wp:posOffset>
                      </wp:positionV>
                      <wp:extent cx="2571750" cy="285750"/>
                      <wp:effectExtent l="635" t="635" r="29845" b="10795"/>
                      <wp:wrapNone/>
                      <wp:docPr id="1030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大かっこ 1"/>
                            <wps:cNvSpPr/>
                            <wps:spPr>
                              <a:xfrm>
                                <a:off x="0" y="0"/>
                                <a:ext cx="257175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contextualSpacing w:val="1"/>
                                    <w:mirrorIndents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color w:val="000000" w:themeColor="text1"/>
                                      <w:sz w:val="20"/>
                                    </w:rPr>
                                    <w:t>〇　講評動画視聴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（←「協議」前の視聴も可）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4;mso-wrap-distance-left:9pt;width:202.5pt;height:22.5pt;mso-position-horizontal-relative:text;position:absolute;margin-left:0.6pt;margin-top:7.15pt;mso-wrap-distance-bottom:0pt;mso-wrap-distance-right:9pt;mso-wrap-distance-top:0pt;v-text-anchor:middle;" o:spid="_x0000_s1030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contextualSpacing w:val="1"/>
                              <w:mirrorIndents w:val="1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20"/>
                              </w:rPr>
                              <w:t>〇　講評動画視聴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（←「協議」前の視聴も可）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○　全体交流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○　今後の取組の方向性を共有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・協議した内容を整理する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・協議した内容を共有できるように掲示する等、工夫する。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134" w:right="1134" w:bottom="1134" w:left="1134" w:header="510" w:footer="510" w:gutter="0"/>
      <w:cols w:space="720"/>
      <w:textDirection w:val="lrTb"/>
      <w:docGrid w:type="linesAndChars" w:linePitch="361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6</Words>
  <Characters>585</Characters>
  <Application>JUST Note</Application>
  <Lines>72</Lines>
  <Paragraphs>46</Paragraphs>
  <Company>Hiroshima Prefecture</Company>
  <CharactersWithSpaces>618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里本 佳子</dc:creator>
  <cp:lastModifiedBy>中村 慎矢</cp:lastModifiedBy>
  <dcterms:created xsi:type="dcterms:W3CDTF">2024-02-05T06:41:00Z</dcterms:created>
  <dcterms:modified xsi:type="dcterms:W3CDTF">2024-02-20T09:27:41Z</dcterms:modified>
  <cp:revision>7</cp:revision>
</cp:coreProperties>
</file>