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BE941" w14:textId="59E1C5DF" w:rsidR="004A6A2B" w:rsidRPr="00564129" w:rsidRDefault="00EB2544" w:rsidP="00564129">
      <w:pPr>
        <w:ind w:firstLineChars="700" w:firstLine="1470"/>
        <w:rPr>
          <w:szCs w:val="21"/>
        </w:rPr>
      </w:pPr>
      <w:r w:rsidRPr="00564129">
        <w:rPr>
          <w:rFonts w:hint="eastAsia"/>
          <w:szCs w:val="21"/>
        </w:rPr>
        <w:t>広島県立総合技術研究所における</w:t>
      </w:r>
      <w:r w:rsidR="004A6A2B" w:rsidRPr="00564129">
        <w:rPr>
          <w:rFonts w:hint="eastAsia"/>
          <w:szCs w:val="21"/>
        </w:rPr>
        <w:t>研究活動及び競争的</w:t>
      </w:r>
      <w:r w:rsidR="009400B7">
        <w:rPr>
          <w:rFonts w:hint="eastAsia"/>
          <w:szCs w:val="21"/>
        </w:rPr>
        <w:t>研究費</w:t>
      </w:r>
      <w:r w:rsidR="004A6A2B" w:rsidRPr="00564129">
        <w:rPr>
          <w:rFonts w:hint="eastAsia"/>
          <w:szCs w:val="21"/>
        </w:rPr>
        <w:t>等の</w:t>
      </w:r>
    </w:p>
    <w:p w14:paraId="723010B1" w14:textId="77777777" w:rsidR="000D20B7" w:rsidRPr="00564129" w:rsidRDefault="004A6A2B" w:rsidP="00564129">
      <w:pPr>
        <w:ind w:firstLineChars="700" w:firstLine="1470"/>
        <w:rPr>
          <w:szCs w:val="21"/>
        </w:rPr>
      </w:pPr>
      <w:r w:rsidRPr="00564129">
        <w:rPr>
          <w:rFonts w:hint="eastAsia"/>
          <w:szCs w:val="21"/>
        </w:rPr>
        <w:t>不正防止</w:t>
      </w:r>
      <w:r w:rsidR="00815211">
        <w:rPr>
          <w:rFonts w:hint="eastAsia"/>
          <w:szCs w:val="21"/>
        </w:rPr>
        <w:t>計画</w:t>
      </w:r>
    </w:p>
    <w:p w14:paraId="38FD4B57" w14:textId="77777777" w:rsidR="006D5A1A" w:rsidRPr="00564129" w:rsidRDefault="006D5A1A">
      <w:pPr>
        <w:rPr>
          <w:szCs w:val="21"/>
        </w:rPr>
      </w:pPr>
    </w:p>
    <w:p w14:paraId="684017F4" w14:textId="188B7346" w:rsidR="006D5A1A" w:rsidRDefault="00825CE2" w:rsidP="00F02042">
      <w:pPr>
        <w:jc w:val="right"/>
        <w:rPr>
          <w:szCs w:val="21"/>
        </w:rPr>
      </w:pPr>
      <w:r>
        <w:rPr>
          <w:rFonts w:hint="eastAsia"/>
          <w:szCs w:val="21"/>
        </w:rPr>
        <w:t>令和元</w:t>
      </w:r>
      <w:r w:rsidR="006D5A1A" w:rsidRPr="00564129">
        <w:rPr>
          <w:rFonts w:hint="eastAsia"/>
          <w:szCs w:val="21"/>
        </w:rPr>
        <w:t>年</w:t>
      </w:r>
      <w:r w:rsidR="0005459A">
        <w:rPr>
          <w:rFonts w:hint="eastAsia"/>
          <w:szCs w:val="21"/>
        </w:rPr>
        <w:t>9</w:t>
      </w:r>
      <w:r w:rsidR="006D5A1A" w:rsidRPr="00564129">
        <w:rPr>
          <w:rFonts w:hint="eastAsia"/>
          <w:szCs w:val="21"/>
        </w:rPr>
        <w:t>月</w:t>
      </w:r>
      <w:r w:rsidR="0005459A">
        <w:rPr>
          <w:rFonts w:hint="eastAsia"/>
          <w:szCs w:val="21"/>
        </w:rPr>
        <w:t>2</w:t>
      </w:r>
      <w:r w:rsidR="006D5A1A" w:rsidRPr="00564129">
        <w:rPr>
          <w:rFonts w:hint="eastAsia"/>
          <w:szCs w:val="21"/>
        </w:rPr>
        <w:t>日</w:t>
      </w:r>
    </w:p>
    <w:p w14:paraId="7DE3D330" w14:textId="77777777" w:rsidR="006D5A1A" w:rsidRDefault="003044D4" w:rsidP="00F02042">
      <w:pPr>
        <w:jc w:val="right"/>
        <w:rPr>
          <w:szCs w:val="21"/>
        </w:rPr>
      </w:pPr>
      <w:r w:rsidRPr="00564129">
        <w:rPr>
          <w:rFonts w:hint="eastAsia"/>
          <w:szCs w:val="21"/>
        </w:rPr>
        <w:t>広島県立</w:t>
      </w:r>
      <w:r w:rsidR="006D5A1A" w:rsidRPr="00564129">
        <w:rPr>
          <w:rFonts w:hint="eastAsia"/>
          <w:szCs w:val="21"/>
        </w:rPr>
        <w:t>総合技術研究所</w:t>
      </w:r>
      <w:r w:rsidRPr="00564129">
        <w:rPr>
          <w:rFonts w:hint="eastAsia"/>
          <w:szCs w:val="21"/>
        </w:rPr>
        <w:t xml:space="preserve">　策定</w:t>
      </w:r>
    </w:p>
    <w:p w14:paraId="2829D9B1" w14:textId="45DFB100" w:rsidR="00726016" w:rsidRPr="00564129" w:rsidRDefault="00726016" w:rsidP="00726016">
      <w:pPr>
        <w:jc w:val="right"/>
        <w:rPr>
          <w:szCs w:val="21"/>
        </w:rPr>
      </w:pPr>
      <w:r>
        <w:rPr>
          <w:rFonts w:hint="eastAsia"/>
          <w:szCs w:val="21"/>
        </w:rPr>
        <w:t>（令和３</w:t>
      </w:r>
      <w:r w:rsidRPr="00564129">
        <w:rPr>
          <w:rFonts w:hint="eastAsia"/>
          <w:szCs w:val="21"/>
        </w:rPr>
        <w:t>年</w:t>
      </w:r>
      <w:r>
        <w:rPr>
          <w:rFonts w:hint="eastAsia"/>
          <w:szCs w:val="21"/>
        </w:rPr>
        <w:t>11</w:t>
      </w:r>
      <w:r w:rsidRPr="00564129">
        <w:rPr>
          <w:rFonts w:hint="eastAsia"/>
          <w:szCs w:val="21"/>
        </w:rPr>
        <w:t>月</w:t>
      </w:r>
      <w:r w:rsidR="00127A4F">
        <w:rPr>
          <w:rFonts w:hint="eastAsia"/>
          <w:szCs w:val="21"/>
        </w:rPr>
        <w:t>19</w:t>
      </w:r>
      <w:bookmarkStart w:id="0" w:name="_GoBack"/>
      <w:bookmarkEnd w:id="0"/>
      <w:r w:rsidRPr="00564129">
        <w:rPr>
          <w:rFonts w:hint="eastAsia"/>
          <w:szCs w:val="21"/>
        </w:rPr>
        <w:t>日</w:t>
      </w:r>
      <w:r>
        <w:rPr>
          <w:rFonts w:hint="eastAsia"/>
          <w:szCs w:val="21"/>
        </w:rPr>
        <w:t xml:space="preserve">　改正）</w:t>
      </w:r>
    </w:p>
    <w:p w14:paraId="68911B83" w14:textId="77777777" w:rsidR="003044D4" w:rsidRPr="00564129" w:rsidRDefault="003044D4">
      <w:pPr>
        <w:rPr>
          <w:szCs w:val="21"/>
        </w:rPr>
      </w:pPr>
    </w:p>
    <w:p w14:paraId="21D963FB" w14:textId="38D211AE" w:rsidR="004A6A2B" w:rsidRPr="00564129" w:rsidRDefault="004A6A2B" w:rsidP="003044D4">
      <w:pPr>
        <w:rPr>
          <w:szCs w:val="21"/>
        </w:rPr>
      </w:pPr>
      <w:r w:rsidRPr="00564129">
        <w:rPr>
          <w:rFonts w:hint="eastAsia"/>
          <w:szCs w:val="21"/>
        </w:rPr>
        <w:t xml:space="preserve">　広島県立総合技術研究所が実施</w:t>
      </w:r>
      <w:r w:rsidR="00815211">
        <w:rPr>
          <w:rFonts w:hint="eastAsia"/>
          <w:szCs w:val="21"/>
        </w:rPr>
        <w:t>する研究活動における不正行為の防止及び対応等に関する取扱要領第８条第１</w:t>
      </w:r>
      <w:r w:rsidRPr="00564129">
        <w:rPr>
          <w:rFonts w:hint="eastAsia"/>
          <w:szCs w:val="21"/>
        </w:rPr>
        <w:t>項及び，広島県立総合技術研究所における競争的</w:t>
      </w:r>
      <w:r w:rsidR="009400B7">
        <w:rPr>
          <w:rFonts w:hint="eastAsia"/>
          <w:szCs w:val="21"/>
        </w:rPr>
        <w:t>研究費</w:t>
      </w:r>
      <w:r w:rsidRPr="00564129">
        <w:rPr>
          <w:rFonts w:hint="eastAsia"/>
          <w:szCs w:val="21"/>
        </w:rPr>
        <w:t>の適正執行・管理等に関する取扱要領</w:t>
      </w:r>
      <w:r w:rsidR="00815211">
        <w:rPr>
          <w:rFonts w:hint="eastAsia"/>
          <w:szCs w:val="21"/>
        </w:rPr>
        <w:t>第９条第１</w:t>
      </w:r>
      <w:r w:rsidRPr="00564129">
        <w:rPr>
          <w:rFonts w:hint="eastAsia"/>
          <w:szCs w:val="21"/>
        </w:rPr>
        <w:t>項に基づく</w:t>
      </w:r>
      <w:r w:rsidR="00815211">
        <w:rPr>
          <w:rFonts w:hint="eastAsia"/>
          <w:szCs w:val="21"/>
        </w:rPr>
        <w:t>不正防止計画</w:t>
      </w:r>
      <w:r w:rsidRPr="00564129">
        <w:rPr>
          <w:rFonts w:hint="eastAsia"/>
          <w:szCs w:val="21"/>
        </w:rPr>
        <w:t>については，次のとおりとする。</w:t>
      </w:r>
    </w:p>
    <w:p w14:paraId="2BDD6389" w14:textId="77777777" w:rsidR="004A6A2B" w:rsidRDefault="00676C17" w:rsidP="00676C17">
      <w:pPr>
        <w:rPr>
          <w:szCs w:val="21"/>
        </w:rPr>
      </w:pPr>
      <w:r w:rsidRPr="00564129">
        <w:rPr>
          <w:rFonts w:hint="eastAsia"/>
          <w:szCs w:val="21"/>
        </w:rPr>
        <w:t xml:space="preserve">１　</w:t>
      </w:r>
      <w:r w:rsidR="00B54AB5">
        <w:rPr>
          <w:rFonts w:hint="eastAsia"/>
          <w:szCs w:val="21"/>
        </w:rPr>
        <w:t>基本的な考え方</w:t>
      </w:r>
    </w:p>
    <w:p w14:paraId="67403FF4" w14:textId="6DFD2476" w:rsidR="00B54AB5" w:rsidRPr="00F85894" w:rsidRDefault="00B54AB5" w:rsidP="00B54AB5">
      <w:pPr>
        <w:ind w:left="210" w:hangingChars="100" w:hanging="210"/>
        <w:rPr>
          <w:szCs w:val="21"/>
        </w:rPr>
      </w:pPr>
      <w:r>
        <w:rPr>
          <w:rFonts w:hint="eastAsia"/>
          <w:szCs w:val="21"/>
        </w:rPr>
        <w:t xml:space="preserve">　　</w:t>
      </w:r>
      <w:r w:rsidRPr="00564129">
        <w:rPr>
          <w:rFonts w:hint="eastAsia"/>
          <w:szCs w:val="21"/>
        </w:rPr>
        <w:t>広島県立総合技術研</w:t>
      </w:r>
      <w:r w:rsidRPr="00F85894">
        <w:rPr>
          <w:rFonts w:hint="eastAsia"/>
          <w:szCs w:val="21"/>
        </w:rPr>
        <w:t>究所（以下「総研」という。）の研究者等が研究活動や</w:t>
      </w:r>
      <w:r w:rsidR="009F205F" w:rsidRPr="00F85894">
        <w:rPr>
          <w:rFonts w:hint="eastAsia"/>
          <w:szCs w:val="21"/>
        </w:rPr>
        <w:t>競争的</w:t>
      </w:r>
      <w:r w:rsidR="009400B7">
        <w:rPr>
          <w:rFonts w:hint="eastAsia"/>
          <w:szCs w:val="21"/>
        </w:rPr>
        <w:t>研究費</w:t>
      </w:r>
      <w:r w:rsidRPr="00F85894">
        <w:rPr>
          <w:rFonts w:hint="eastAsia"/>
          <w:szCs w:val="21"/>
        </w:rPr>
        <w:t>等の執行・管理を適正に行うため</w:t>
      </w:r>
      <w:r w:rsidR="00D353D7" w:rsidRPr="00F85894">
        <w:rPr>
          <w:rFonts w:hint="eastAsia"/>
          <w:szCs w:val="21"/>
        </w:rPr>
        <w:t>，広島県職員倫理要綱（平成</w:t>
      </w:r>
      <w:r w:rsidR="00D353D7" w:rsidRPr="00F85894">
        <w:rPr>
          <w:rFonts w:hint="eastAsia"/>
          <w:szCs w:val="21"/>
        </w:rPr>
        <w:t>10</w:t>
      </w:r>
      <w:r w:rsidR="00D353D7" w:rsidRPr="00F85894">
        <w:rPr>
          <w:rFonts w:hint="eastAsia"/>
          <w:szCs w:val="21"/>
        </w:rPr>
        <w:t>年</w:t>
      </w:r>
      <w:r w:rsidR="00D353D7" w:rsidRPr="00F85894">
        <w:rPr>
          <w:rFonts w:hint="eastAsia"/>
          <w:szCs w:val="21"/>
        </w:rPr>
        <w:t>12</w:t>
      </w:r>
      <w:r w:rsidRPr="00F85894">
        <w:rPr>
          <w:rFonts w:hint="eastAsia"/>
          <w:szCs w:val="21"/>
        </w:rPr>
        <w:t>月制定），広島県職員の行動理念，広島県会計規則（昭和</w:t>
      </w:r>
      <w:r w:rsidR="00D353D7" w:rsidRPr="00F85894">
        <w:rPr>
          <w:rFonts w:hint="eastAsia"/>
          <w:szCs w:val="21"/>
        </w:rPr>
        <w:t>39</w:t>
      </w:r>
      <w:r w:rsidRPr="00F85894">
        <w:rPr>
          <w:rFonts w:hint="eastAsia"/>
          <w:szCs w:val="21"/>
        </w:rPr>
        <w:t>年規則第</w:t>
      </w:r>
      <w:r w:rsidR="00D353D7" w:rsidRPr="00F85894">
        <w:rPr>
          <w:rFonts w:hint="eastAsia"/>
          <w:szCs w:val="21"/>
        </w:rPr>
        <w:t>29</w:t>
      </w:r>
      <w:r w:rsidRPr="00F85894">
        <w:rPr>
          <w:rFonts w:hint="eastAsia"/>
          <w:szCs w:val="21"/>
        </w:rPr>
        <w:t>号），その他関係する法令を遵守する。</w:t>
      </w:r>
    </w:p>
    <w:p w14:paraId="26E274E5" w14:textId="77777777" w:rsidR="00B54AB5" w:rsidRPr="00F85894" w:rsidRDefault="00B54AB5" w:rsidP="00B54AB5">
      <w:pPr>
        <w:ind w:leftChars="100" w:left="210" w:firstLineChars="100" w:firstLine="210"/>
        <w:rPr>
          <w:szCs w:val="21"/>
        </w:rPr>
      </w:pPr>
      <w:r w:rsidRPr="00F85894">
        <w:rPr>
          <w:rFonts w:hint="eastAsia"/>
          <w:szCs w:val="21"/>
        </w:rPr>
        <w:t>また，自己及び他者の不正の防止を講じるための対</w:t>
      </w:r>
      <w:r w:rsidR="008166A8" w:rsidRPr="00F85894">
        <w:rPr>
          <w:rFonts w:hint="eastAsia"/>
          <w:szCs w:val="21"/>
        </w:rPr>
        <w:t>策及び不正の防止意識を高め，総研内において，適正な研究活動を</w:t>
      </w:r>
      <w:r w:rsidRPr="00F85894">
        <w:rPr>
          <w:rFonts w:hint="eastAsia"/>
          <w:szCs w:val="21"/>
        </w:rPr>
        <w:t>持続することができる組織風土を形成するよう努めなければならない。</w:t>
      </w:r>
    </w:p>
    <w:p w14:paraId="58AB3554" w14:textId="77777777" w:rsidR="00676C17" w:rsidRPr="00F85894" w:rsidRDefault="00676C17" w:rsidP="004A6A2B">
      <w:pPr>
        <w:rPr>
          <w:szCs w:val="21"/>
        </w:rPr>
      </w:pPr>
    </w:p>
    <w:p w14:paraId="3B29C3F0" w14:textId="77777777" w:rsidR="00676C17" w:rsidRPr="00F85894" w:rsidRDefault="00676C17" w:rsidP="004A6A2B">
      <w:pPr>
        <w:rPr>
          <w:szCs w:val="21"/>
        </w:rPr>
      </w:pPr>
      <w:r w:rsidRPr="00F85894">
        <w:rPr>
          <w:rFonts w:hint="eastAsia"/>
          <w:szCs w:val="21"/>
        </w:rPr>
        <w:t>２　適正な運営・管理の基礎となる環境の整備</w:t>
      </w:r>
    </w:p>
    <w:p w14:paraId="4C4EA1A8" w14:textId="1EB818F6" w:rsidR="004F5302" w:rsidRPr="00F85894" w:rsidRDefault="004F5302" w:rsidP="004F5302">
      <w:pPr>
        <w:rPr>
          <w:szCs w:val="21"/>
        </w:rPr>
      </w:pPr>
      <w:r w:rsidRPr="00F85894">
        <w:rPr>
          <w:rFonts w:hint="eastAsia"/>
          <w:szCs w:val="21"/>
        </w:rPr>
        <w:t>（１）</w:t>
      </w:r>
      <w:r w:rsidR="00EB2E81">
        <w:rPr>
          <w:rFonts w:hint="eastAsia"/>
          <w:szCs w:val="21"/>
        </w:rPr>
        <w:t>コンプライアンス教育・啓発活動の実施</w:t>
      </w:r>
    </w:p>
    <w:p w14:paraId="7F9C9134" w14:textId="479AD9E0" w:rsidR="007A650D" w:rsidRPr="007A650D" w:rsidRDefault="007A650D" w:rsidP="007A650D">
      <w:pPr>
        <w:ind w:leftChars="200" w:left="420" w:firstLineChars="100" w:firstLine="210"/>
        <w:rPr>
          <w:szCs w:val="21"/>
        </w:rPr>
      </w:pPr>
      <w:r w:rsidRPr="007A650D">
        <w:rPr>
          <w:rFonts w:hint="eastAsia"/>
          <w:szCs w:val="21"/>
        </w:rPr>
        <w:t>コンプライアンス推進責任者は、統括管理責任者が策定する実施計画</w:t>
      </w:r>
      <w:r>
        <w:rPr>
          <w:rFonts w:hint="eastAsia"/>
          <w:szCs w:val="21"/>
        </w:rPr>
        <w:t>に基づき、競争的研究費等の運営・管理に関わる研究員等</w:t>
      </w:r>
      <w:r w:rsidRPr="007A650D">
        <w:rPr>
          <w:rFonts w:hint="eastAsia"/>
          <w:szCs w:val="21"/>
        </w:rPr>
        <w:t>としたコンプライアンス教育を実施する。</w:t>
      </w:r>
    </w:p>
    <w:p w14:paraId="347B7CAA" w14:textId="77777777" w:rsidR="007A650D" w:rsidRPr="007A650D" w:rsidRDefault="007A650D" w:rsidP="007A650D">
      <w:pPr>
        <w:ind w:leftChars="200" w:left="420" w:firstLineChars="100" w:firstLine="210"/>
        <w:rPr>
          <w:szCs w:val="21"/>
        </w:rPr>
      </w:pPr>
      <w:r>
        <w:rPr>
          <w:rFonts w:hint="eastAsia"/>
          <w:szCs w:val="21"/>
        </w:rPr>
        <w:t>コンプライアンス教育の内容は、研究員等</w:t>
      </w:r>
      <w:r w:rsidRPr="007A650D">
        <w:rPr>
          <w:rFonts w:hint="eastAsia"/>
          <w:szCs w:val="21"/>
        </w:rPr>
        <w:t>の職務内容や権限・責任に応じた効果的で実効性のあるものを設定し、定期的に見直しを行う。</w:t>
      </w:r>
    </w:p>
    <w:p w14:paraId="006A5A82" w14:textId="77777777" w:rsidR="007A650D" w:rsidRPr="007A650D" w:rsidRDefault="007A650D" w:rsidP="007A650D">
      <w:pPr>
        <w:ind w:leftChars="200" w:left="420" w:firstLineChars="100" w:firstLine="210"/>
        <w:rPr>
          <w:szCs w:val="21"/>
        </w:rPr>
      </w:pPr>
      <w:r w:rsidRPr="007A650D">
        <w:rPr>
          <w:rFonts w:hint="eastAsia"/>
          <w:szCs w:val="21"/>
        </w:rPr>
        <w:t>実施に際しては、あらかじめ一定の期間を定めて定期的に受講させる</w:t>
      </w:r>
      <w:r>
        <w:rPr>
          <w:rFonts w:hint="eastAsia"/>
          <w:szCs w:val="21"/>
        </w:rPr>
        <w:t>とともに、研究員等</w:t>
      </w:r>
      <w:r w:rsidRPr="007A650D">
        <w:rPr>
          <w:rFonts w:hint="eastAsia"/>
          <w:szCs w:val="21"/>
        </w:rPr>
        <w:t>の受講状況及び理解度について把握する。</w:t>
      </w:r>
    </w:p>
    <w:p w14:paraId="0B1ECB0D" w14:textId="77777777" w:rsidR="007A650D" w:rsidRDefault="007A650D" w:rsidP="007A650D">
      <w:pPr>
        <w:ind w:leftChars="200" w:left="420" w:firstLineChars="100" w:firstLine="210"/>
        <w:rPr>
          <w:szCs w:val="21"/>
        </w:rPr>
      </w:pPr>
      <w:r w:rsidRPr="007A650D">
        <w:rPr>
          <w:rFonts w:hint="eastAsia"/>
          <w:szCs w:val="21"/>
        </w:rPr>
        <w:t>これらの内容を遵守する義務があることを理解させ、意識の浸透を図</w:t>
      </w:r>
      <w:r>
        <w:rPr>
          <w:rFonts w:hint="eastAsia"/>
          <w:szCs w:val="21"/>
        </w:rPr>
        <w:t>るために、競争的研究費等の運営・管理に関わる全ての研究員等</w:t>
      </w:r>
      <w:r w:rsidRPr="007A650D">
        <w:rPr>
          <w:rFonts w:hint="eastAsia"/>
          <w:szCs w:val="21"/>
        </w:rPr>
        <w:t>に対し、受講の機会等に誓約書等の提出を求める。</w:t>
      </w:r>
    </w:p>
    <w:p w14:paraId="37607071" w14:textId="6A29DCC7" w:rsidR="007A650D" w:rsidRPr="007A650D" w:rsidRDefault="007A650D" w:rsidP="007A650D">
      <w:pPr>
        <w:ind w:leftChars="200" w:left="420" w:firstLineChars="100" w:firstLine="210"/>
        <w:rPr>
          <w:szCs w:val="21"/>
        </w:rPr>
      </w:pPr>
      <w:r w:rsidRPr="007A650D">
        <w:rPr>
          <w:rFonts w:hint="eastAsia"/>
          <w:szCs w:val="21"/>
        </w:rPr>
        <w:t>コンプライアンス推進責任者は、統括管理責任者が策定する実施計画</w:t>
      </w:r>
      <w:r>
        <w:rPr>
          <w:rFonts w:hint="eastAsia"/>
          <w:szCs w:val="21"/>
        </w:rPr>
        <w:t>に基づき、競争的研究費等の運営・管理に関わる全ての研究員等</w:t>
      </w:r>
      <w:r w:rsidRPr="007A650D">
        <w:rPr>
          <w:rFonts w:hint="eastAsia"/>
          <w:szCs w:val="21"/>
        </w:rPr>
        <w:t>に対して、コンプライアンス教育にとどまらず、不正根絶に向けた継続的な啓発活動を実施する。</w:t>
      </w:r>
    </w:p>
    <w:p w14:paraId="09C65F4E" w14:textId="6307A086" w:rsidR="00020472" w:rsidRPr="00F85894" w:rsidRDefault="003F75FB" w:rsidP="00D353D7">
      <w:pPr>
        <w:ind w:leftChars="200" w:left="420" w:firstLineChars="100" w:firstLine="210"/>
        <w:rPr>
          <w:szCs w:val="21"/>
        </w:rPr>
      </w:pPr>
      <w:r w:rsidRPr="00F85894">
        <w:rPr>
          <w:rFonts w:hint="eastAsia"/>
          <w:szCs w:val="21"/>
        </w:rPr>
        <w:t>コンプライアンス推進責任者は，</w:t>
      </w:r>
      <w:r w:rsidR="00000EE9" w:rsidRPr="00F85894">
        <w:rPr>
          <w:rFonts w:hint="eastAsia"/>
          <w:szCs w:val="21"/>
        </w:rPr>
        <w:t>センター内にコンプライアンス推進副責任者</w:t>
      </w:r>
      <w:r w:rsidR="00CC5D41" w:rsidRPr="00F85894">
        <w:rPr>
          <w:rFonts w:hint="eastAsia"/>
          <w:szCs w:val="21"/>
        </w:rPr>
        <w:t>（センター</w:t>
      </w:r>
      <w:r w:rsidR="00020472" w:rsidRPr="00F85894">
        <w:rPr>
          <w:rFonts w:hint="eastAsia"/>
          <w:szCs w:val="21"/>
        </w:rPr>
        <w:t>事務次長及び</w:t>
      </w:r>
      <w:r w:rsidR="00CC5D41" w:rsidRPr="00F85894">
        <w:rPr>
          <w:rFonts w:hint="eastAsia"/>
          <w:szCs w:val="21"/>
        </w:rPr>
        <w:t>技術次長）</w:t>
      </w:r>
      <w:r w:rsidR="00000EE9" w:rsidRPr="00F85894">
        <w:rPr>
          <w:rFonts w:hint="eastAsia"/>
          <w:szCs w:val="21"/>
        </w:rPr>
        <w:t>を設け</w:t>
      </w:r>
      <w:r w:rsidR="00020472" w:rsidRPr="00F85894">
        <w:rPr>
          <w:rFonts w:hint="eastAsia"/>
          <w:szCs w:val="21"/>
        </w:rPr>
        <w:t>る。</w:t>
      </w:r>
    </w:p>
    <w:p w14:paraId="1A42F0A1" w14:textId="77777777" w:rsidR="00020472" w:rsidRPr="00F85894" w:rsidRDefault="00020472" w:rsidP="00D353D7">
      <w:pPr>
        <w:ind w:leftChars="200" w:left="420" w:firstLineChars="100" w:firstLine="210"/>
        <w:rPr>
          <w:szCs w:val="21"/>
        </w:rPr>
      </w:pPr>
      <w:r w:rsidRPr="00F85894">
        <w:rPr>
          <w:rFonts w:hint="eastAsia"/>
          <w:szCs w:val="21"/>
        </w:rPr>
        <w:t>コンプライアンス</w:t>
      </w:r>
      <w:r w:rsidR="00901F26">
        <w:rPr>
          <w:rFonts w:hint="eastAsia"/>
          <w:szCs w:val="21"/>
        </w:rPr>
        <w:t>推進</w:t>
      </w:r>
      <w:r w:rsidRPr="00F85894">
        <w:rPr>
          <w:rFonts w:hint="eastAsia"/>
          <w:szCs w:val="21"/>
        </w:rPr>
        <w:t>副責任者（事務次長）は予算の適正執行・管理及び，取引企業からの誓約書（別紙２）の取りまとめ等の実施運営を担う。</w:t>
      </w:r>
    </w:p>
    <w:p w14:paraId="15161A4C" w14:textId="27DF9809" w:rsidR="005B3D41" w:rsidRPr="00F85894" w:rsidRDefault="00020472" w:rsidP="00825CE2">
      <w:pPr>
        <w:ind w:leftChars="200" w:left="420" w:firstLineChars="100" w:firstLine="210"/>
        <w:rPr>
          <w:szCs w:val="21"/>
        </w:rPr>
      </w:pPr>
      <w:r w:rsidRPr="00F85894">
        <w:rPr>
          <w:rFonts w:hint="eastAsia"/>
          <w:szCs w:val="21"/>
        </w:rPr>
        <w:t>コンプライアンス</w:t>
      </w:r>
      <w:r w:rsidR="00901F26">
        <w:rPr>
          <w:rFonts w:hint="eastAsia"/>
          <w:szCs w:val="21"/>
        </w:rPr>
        <w:t>推進</w:t>
      </w:r>
      <w:r w:rsidRPr="00F85894">
        <w:rPr>
          <w:rFonts w:hint="eastAsia"/>
          <w:szCs w:val="21"/>
        </w:rPr>
        <w:t>副責任者（技術次長）は，センター内の確認書（別紙１）の取りまとめ等の実施運営を担う。</w:t>
      </w:r>
      <w:r w:rsidR="00D353D7" w:rsidRPr="00F85894">
        <w:rPr>
          <w:szCs w:val="21"/>
        </w:rPr>
        <w:br w:type="page"/>
      </w:r>
    </w:p>
    <w:p w14:paraId="0BFB85DE" w14:textId="47D85049" w:rsidR="003F1EB4" w:rsidRPr="00F85894" w:rsidRDefault="003F1EB4" w:rsidP="003F1EB4">
      <w:pPr>
        <w:rPr>
          <w:szCs w:val="21"/>
        </w:rPr>
      </w:pPr>
      <w:r w:rsidRPr="00F85894">
        <w:rPr>
          <w:rFonts w:hint="eastAsia"/>
          <w:szCs w:val="21"/>
        </w:rPr>
        <w:lastRenderedPageBreak/>
        <w:t>（２）競争的</w:t>
      </w:r>
      <w:r w:rsidR="009400B7">
        <w:rPr>
          <w:rFonts w:hint="eastAsia"/>
          <w:szCs w:val="21"/>
        </w:rPr>
        <w:t>研究費</w:t>
      </w:r>
      <w:r w:rsidRPr="00F85894">
        <w:rPr>
          <w:rFonts w:hint="eastAsia"/>
          <w:szCs w:val="21"/>
        </w:rPr>
        <w:t>等事業に関係する研究者等の意識向上</w:t>
      </w:r>
    </w:p>
    <w:p w14:paraId="4B4B483A" w14:textId="45403D00" w:rsidR="003F1EB4" w:rsidRPr="00F85894" w:rsidRDefault="003F1EB4" w:rsidP="003F1EB4">
      <w:pPr>
        <w:ind w:leftChars="200" w:left="420" w:firstLineChars="100" w:firstLine="210"/>
        <w:rPr>
          <w:szCs w:val="21"/>
        </w:rPr>
      </w:pPr>
      <w:r w:rsidRPr="00F85894">
        <w:rPr>
          <w:rFonts w:hint="eastAsia"/>
          <w:szCs w:val="21"/>
        </w:rPr>
        <w:t>競争的</w:t>
      </w:r>
      <w:r w:rsidR="009400B7">
        <w:rPr>
          <w:rFonts w:hint="eastAsia"/>
          <w:szCs w:val="21"/>
        </w:rPr>
        <w:t>研究費</w:t>
      </w:r>
      <w:r w:rsidRPr="00F85894">
        <w:rPr>
          <w:rFonts w:hint="eastAsia"/>
          <w:szCs w:val="21"/>
        </w:rPr>
        <w:t>等の事業に係る</w:t>
      </w:r>
      <w:r w:rsidR="00A21F09" w:rsidRPr="00F85894">
        <w:rPr>
          <w:rFonts w:hint="eastAsia"/>
          <w:szCs w:val="21"/>
        </w:rPr>
        <w:t>研究者等は，事業ごとに関連規則等の遵守や研究活動における不正</w:t>
      </w:r>
      <w:r w:rsidRPr="00F85894">
        <w:rPr>
          <w:rFonts w:hint="eastAsia"/>
          <w:szCs w:val="21"/>
        </w:rPr>
        <w:t>を行わないことを確認する確認書（別紙１）に記載し，事業実施開始日，又は競争的</w:t>
      </w:r>
      <w:r w:rsidR="009400B7">
        <w:rPr>
          <w:rFonts w:hint="eastAsia"/>
          <w:szCs w:val="21"/>
        </w:rPr>
        <w:t>研究費</w:t>
      </w:r>
      <w:r w:rsidRPr="00F85894">
        <w:rPr>
          <w:rFonts w:hint="eastAsia"/>
          <w:szCs w:val="21"/>
        </w:rPr>
        <w:t>事業ごとに指示のある日の</w:t>
      </w:r>
      <w:r w:rsidR="00D353D7" w:rsidRPr="00F85894">
        <w:rPr>
          <w:rFonts w:hint="eastAsia"/>
          <w:szCs w:val="21"/>
        </w:rPr>
        <w:t>いずれ</w:t>
      </w:r>
      <w:r w:rsidRPr="00F85894">
        <w:rPr>
          <w:rFonts w:hint="eastAsia"/>
          <w:szCs w:val="21"/>
        </w:rPr>
        <w:t>かの早い日までに，</w:t>
      </w:r>
      <w:r w:rsidR="00020472" w:rsidRPr="00F85894">
        <w:rPr>
          <w:rFonts w:hint="eastAsia"/>
          <w:szCs w:val="21"/>
        </w:rPr>
        <w:t>コンプライアンス</w:t>
      </w:r>
      <w:r w:rsidR="00901F26">
        <w:rPr>
          <w:rFonts w:hint="eastAsia"/>
          <w:szCs w:val="21"/>
        </w:rPr>
        <w:t>推進</w:t>
      </w:r>
      <w:r w:rsidR="00020472" w:rsidRPr="00F85894">
        <w:rPr>
          <w:rFonts w:hint="eastAsia"/>
          <w:szCs w:val="21"/>
        </w:rPr>
        <w:t>副責任者（技術次長）を通じて最高</w:t>
      </w:r>
      <w:r w:rsidRPr="00F85894">
        <w:rPr>
          <w:rFonts w:hint="eastAsia"/>
          <w:szCs w:val="21"/>
        </w:rPr>
        <w:t>管理責任者へ提出する。</w:t>
      </w:r>
    </w:p>
    <w:p w14:paraId="221EA3DA" w14:textId="77777777" w:rsidR="00CC5D41" w:rsidRPr="00F85894" w:rsidRDefault="003F1EB4" w:rsidP="00CC5D41">
      <w:pPr>
        <w:rPr>
          <w:szCs w:val="21"/>
        </w:rPr>
      </w:pPr>
      <w:r w:rsidRPr="00F85894">
        <w:rPr>
          <w:rFonts w:hint="eastAsia"/>
          <w:szCs w:val="21"/>
        </w:rPr>
        <w:t>（３</w:t>
      </w:r>
      <w:r w:rsidR="00A05FF9" w:rsidRPr="00F85894">
        <w:rPr>
          <w:rFonts w:hint="eastAsia"/>
          <w:szCs w:val="21"/>
        </w:rPr>
        <w:t>）</w:t>
      </w:r>
      <w:r w:rsidR="008F0F08" w:rsidRPr="00F85894">
        <w:rPr>
          <w:rFonts w:hint="eastAsia"/>
          <w:szCs w:val="21"/>
        </w:rPr>
        <w:t>関係取引業者等の意識向上</w:t>
      </w:r>
    </w:p>
    <w:p w14:paraId="0C80A050" w14:textId="4C710A8E" w:rsidR="003028A4" w:rsidRPr="00F85894" w:rsidRDefault="008F0F08" w:rsidP="00CC5D41">
      <w:pPr>
        <w:ind w:leftChars="200" w:left="420" w:firstLineChars="100" w:firstLine="210"/>
        <w:rPr>
          <w:szCs w:val="21"/>
        </w:rPr>
      </w:pPr>
      <w:r w:rsidRPr="00F85894">
        <w:rPr>
          <w:rFonts w:hint="eastAsia"/>
          <w:szCs w:val="21"/>
        </w:rPr>
        <w:t>コンプライアンス推進責任者は，総研と競争的</w:t>
      </w:r>
      <w:r w:rsidR="009400B7">
        <w:rPr>
          <w:rFonts w:hint="eastAsia"/>
          <w:szCs w:val="21"/>
        </w:rPr>
        <w:t>研究費</w:t>
      </w:r>
      <w:r w:rsidRPr="00F85894">
        <w:rPr>
          <w:rFonts w:hint="eastAsia"/>
          <w:szCs w:val="21"/>
        </w:rPr>
        <w:t>等に係る取引を行う業者から，</w:t>
      </w:r>
      <w:r w:rsidR="003F1EB4" w:rsidRPr="00F85894">
        <w:rPr>
          <w:rFonts w:hint="eastAsia"/>
          <w:szCs w:val="21"/>
        </w:rPr>
        <w:t>契約等締結日</w:t>
      </w:r>
      <w:r w:rsidR="00865B3A" w:rsidRPr="00F85894">
        <w:rPr>
          <w:rFonts w:hint="eastAsia"/>
          <w:szCs w:val="21"/>
        </w:rPr>
        <w:t>又は納品日等</w:t>
      </w:r>
      <w:r w:rsidR="003F1EB4" w:rsidRPr="00F85894">
        <w:rPr>
          <w:rFonts w:hint="eastAsia"/>
          <w:szCs w:val="21"/>
        </w:rPr>
        <w:t>までに</w:t>
      </w:r>
      <w:r w:rsidRPr="00F85894">
        <w:rPr>
          <w:rFonts w:hint="eastAsia"/>
          <w:szCs w:val="21"/>
        </w:rPr>
        <w:t>誓約書（別紙</w:t>
      </w:r>
      <w:r w:rsidR="003028A4" w:rsidRPr="00F85894">
        <w:rPr>
          <w:rFonts w:hint="eastAsia"/>
          <w:szCs w:val="21"/>
        </w:rPr>
        <w:t>２）の提出を求め，不正防止と適正な取引の意識向上を図る。ただし，次に該当する場合は，誓約書の提出を免除するものとする。</w:t>
      </w:r>
    </w:p>
    <w:p w14:paraId="3D92E6CB" w14:textId="77777777" w:rsidR="003028A4" w:rsidRPr="00F85894" w:rsidRDefault="003028A4" w:rsidP="003028A4">
      <w:pPr>
        <w:ind w:leftChars="200" w:left="420"/>
        <w:rPr>
          <w:szCs w:val="21"/>
        </w:rPr>
      </w:pPr>
    </w:p>
    <w:p w14:paraId="47ACC965" w14:textId="77777777" w:rsidR="003028A4" w:rsidRPr="00F85894" w:rsidRDefault="003028A4" w:rsidP="003028A4">
      <w:pPr>
        <w:ind w:leftChars="200" w:left="420"/>
        <w:rPr>
          <w:szCs w:val="21"/>
        </w:rPr>
      </w:pPr>
      <w:r w:rsidRPr="00F85894">
        <w:rPr>
          <w:rFonts w:hint="eastAsia"/>
          <w:szCs w:val="21"/>
        </w:rPr>
        <w:t>ア：</w:t>
      </w:r>
      <w:r w:rsidR="007267A4" w:rsidRPr="00F85894">
        <w:rPr>
          <w:rFonts w:hint="eastAsia"/>
          <w:szCs w:val="21"/>
        </w:rPr>
        <w:t>広島県における競争入札参加資格を有する者</w:t>
      </w:r>
    </w:p>
    <w:p w14:paraId="4AB704C1" w14:textId="77777777" w:rsidR="00CC5D41" w:rsidRPr="00F85894" w:rsidRDefault="003028A4" w:rsidP="003028A4">
      <w:pPr>
        <w:ind w:leftChars="200" w:left="420"/>
        <w:rPr>
          <w:szCs w:val="21"/>
        </w:rPr>
      </w:pPr>
      <w:r w:rsidRPr="00F85894">
        <w:rPr>
          <w:rFonts w:hint="eastAsia"/>
          <w:szCs w:val="21"/>
        </w:rPr>
        <w:t>イ：</w:t>
      </w:r>
      <w:r w:rsidR="002F134E" w:rsidRPr="00F85894">
        <w:rPr>
          <w:rFonts w:hint="eastAsia"/>
          <w:szCs w:val="21"/>
        </w:rPr>
        <w:t>インターネットを活用した物品調達</w:t>
      </w:r>
      <w:r w:rsidRPr="00F85894">
        <w:rPr>
          <w:rFonts w:hint="eastAsia"/>
          <w:szCs w:val="21"/>
        </w:rPr>
        <w:t>等</w:t>
      </w:r>
      <w:r w:rsidR="002F134E" w:rsidRPr="00F85894">
        <w:rPr>
          <w:rFonts w:hint="eastAsia"/>
          <w:szCs w:val="21"/>
        </w:rPr>
        <w:t>における取引企業</w:t>
      </w:r>
    </w:p>
    <w:p w14:paraId="6A3E2A84" w14:textId="77777777" w:rsidR="003028A4" w:rsidRPr="00F85894" w:rsidRDefault="003028A4" w:rsidP="003028A4">
      <w:pPr>
        <w:ind w:leftChars="200" w:left="420"/>
        <w:rPr>
          <w:szCs w:val="21"/>
        </w:rPr>
      </w:pPr>
      <w:r w:rsidRPr="00F85894">
        <w:rPr>
          <w:rFonts w:hint="eastAsia"/>
          <w:szCs w:val="21"/>
        </w:rPr>
        <w:t>ウ：旅費システムにおける切符手配業者</w:t>
      </w:r>
    </w:p>
    <w:p w14:paraId="6DF1F1F3" w14:textId="77777777" w:rsidR="003028A4" w:rsidRPr="00F85894" w:rsidRDefault="003028A4" w:rsidP="003028A4">
      <w:pPr>
        <w:ind w:leftChars="200" w:left="420"/>
        <w:rPr>
          <w:szCs w:val="21"/>
        </w:rPr>
      </w:pPr>
      <w:r w:rsidRPr="00F85894">
        <w:rPr>
          <w:rFonts w:hint="eastAsia"/>
          <w:szCs w:val="21"/>
        </w:rPr>
        <w:t>エ：国，地方公共団体，独立行政法人等の公的団体</w:t>
      </w:r>
    </w:p>
    <w:p w14:paraId="75DBFBF9" w14:textId="77777777" w:rsidR="003028A4" w:rsidRPr="00F85894" w:rsidRDefault="003028A4" w:rsidP="003028A4">
      <w:pPr>
        <w:ind w:leftChars="200" w:left="420"/>
        <w:rPr>
          <w:szCs w:val="21"/>
        </w:rPr>
      </w:pPr>
      <w:r w:rsidRPr="00F85894">
        <w:rPr>
          <w:rFonts w:hint="eastAsia"/>
          <w:szCs w:val="21"/>
        </w:rPr>
        <w:t>オ：学校法人，公益財団法人，一般財団法人，非営利団体等</w:t>
      </w:r>
    </w:p>
    <w:p w14:paraId="135E73AD" w14:textId="77777777" w:rsidR="003028A4" w:rsidRPr="00F85894" w:rsidRDefault="003028A4" w:rsidP="003028A4">
      <w:pPr>
        <w:ind w:leftChars="200" w:left="420"/>
        <w:rPr>
          <w:szCs w:val="21"/>
        </w:rPr>
      </w:pPr>
      <w:r w:rsidRPr="00F85894">
        <w:rPr>
          <w:rFonts w:hint="eastAsia"/>
          <w:szCs w:val="21"/>
        </w:rPr>
        <w:t>カ：電気，ガス，水道，電話，郵便事業者等</w:t>
      </w:r>
    </w:p>
    <w:p w14:paraId="29885CD6" w14:textId="77777777" w:rsidR="003028A4" w:rsidRPr="00F85894" w:rsidRDefault="003028A4" w:rsidP="003028A4">
      <w:pPr>
        <w:ind w:leftChars="200" w:left="420"/>
        <w:rPr>
          <w:szCs w:val="21"/>
        </w:rPr>
      </w:pPr>
      <w:r w:rsidRPr="00F85894">
        <w:rPr>
          <w:rFonts w:hint="eastAsia"/>
          <w:szCs w:val="21"/>
        </w:rPr>
        <w:t>キ：その他，本対象になじまない業種</w:t>
      </w:r>
    </w:p>
    <w:p w14:paraId="6F5E3EED" w14:textId="77777777" w:rsidR="008F0F08" w:rsidRPr="00F85894" w:rsidRDefault="008F0F08" w:rsidP="00CC5D41">
      <w:pPr>
        <w:ind w:leftChars="200" w:left="420" w:firstLineChars="100" w:firstLine="210"/>
        <w:rPr>
          <w:szCs w:val="21"/>
        </w:rPr>
      </w:pPr>
    </w:p>
    <w:p w14:paraId="0DA10B5A" w14:textId="77777777" w:rsidR="005B3D41" w:rsidRPr="00F85894" w:rsidRDefault="005B3D41" w:rsidP="00E62CA5">
      <w:pPr>
        <w:rPr>
          <w:szCs w:val="21"/>
        </w:rPr>
      </w:pPr>
      <w:r w:rsidRPr="00F85894">
        <w:rPr>
          <w:rFonts w:hint="eastAsia"/>
          <w:szCs w:val="21"/>
        </w:rPr>
        <w:t>３　不正使用を発生させる要因の把握と不正防止計画の策定・実施</w:t>
      </w:r>
    </w:p>
    <w:p w14:paraId="763D3BE8" w14:textId="77777777" w:rsidR="005B3D41" w:rsidRPr="00F85894" w:rsidRDefault="003A16EE" w:rsidP="00D353D7">
      <w:pPr>
        <w:ind w:leftChars="100" w:left="210" w:firstLineChars="100" w:firstLine="210"/>
        <w:rPr>
          <w:szCs w:val="21"/>
        </w:rPr>
      </w:pPr>
      <w:r w:rsidRPr="00F85894">
        <w:rPr>
          <w:rFonts w:hint="eastAsia"/>
          <w:szCs w:val="21"/>
        </w:rPr>
        <w:t>不正防止計画推進部署（企画部</w:t>
      </w:r>
      <w:r w:rsidR="00423753">
        <w:rPr>
          <w:rFonts w:hint="eastAsia"/>
          <w:szCs w:val="21"/>
        </w:rPr>
        <w:t>事業推進担当</w:t>
      </w:r>
      <w:r w:rsidRPr="00F85894">
        <w:rPr>
          <w:rFonts w:hint="eastAsia"/>
          <w:szCs w:val="21"/>
        </w:rPr>
        <w:t>）は，業務報告，照会回答及び研究等進捗ヒアリング，内部監査等</w:t>
      </w:r>
      <w:r w:rsidR="00A21F09" w:rsidRPr="00F85894">
        <w:rPr>
          <w:rFonts w:hint="eastAsia"/>
          <w:szCs w:val="21"/>
        </w:rPr>
        <w:t>に基づき，不正</w:t>
      </w:r>
      <w:r w:rsidR="003F75FB" w:rsidRPr="00F85894">
        <w:rPr>
          <w:rFonts w:hint="eastAsia"/>
          <w:szCs w:val="21"/>
        </w:rPr>
        <w:t>を発生させる要因及びその背景の把握とその再発防止</w:t>
      </w:r>
      <w:r w:rsidR="008166A8" w:rsidRPr="00F85894">
        <w:rPr>
          <w:rFonts w:hint="eastAsia"/>
          <w:szCs w:val="21"/>
        </w:rPr>
        <w:t>策を検討し，別紙３</w:t>
      </w:r>
      <w:r w:rsidR="003F75FB" w:rsidRPr="00F85894">
        <w:rPr>
          <w:rFonts w:hint="eastAsia"/>
          <w:szCs w:val="21"/>
        </w:rPr>
        <w:t>のとおり整理する。</w:t>
      </w:r>
    </w:p>
    <w:p w14:paraId="263026AC" w14:textId="27AED675" w:rsidR="003F75FB" w:rsidRPr="00F85894" w:rsidRDefault="003F75FB" w:rsidP="00D353D7">
      <w:pPr>
        <w:ind w:leftChars="100" w:left="210" w:firstLineChars="100" w:firstLine="210"/>
        <w:rPr>
          <w:szCs w:val="21"/>
        </w:rPr>
      </w:pPr>
      <w:r w:rsidRPr="00F85894">
        <w:rPr>
          <w:rFonts w:hint="eastAsia"/>
          <w:szCs w:val="21"/>
        </w:rPr>
        <w:t>不正防止計画推進部署は，</w:t>
      </w:r>
      <w:r w:rsidR="00BE3195">
        <w:rPr>
          <w:rFonts w:hint="eastAsia"/>
          <w:szCs w:val="21"/>
        </w:rPr>
        <w:t>監事（企画部企画担当主査</w:t>
      </w:r>
      <w:r w:rsidR="00423753">
        <w:rPr>
          <w:rFonts w:hint="eastAsia"/>
          <w:szCs w:val="21"/>
        </w:rPr>
        <w:t>），および内部監査部門（企画部企画担当）と連携して，</w:t>
      </w:r>
      <w:r w:rsidR="00D95BE2" w:rsidRPr="00F85894">
        <w:rPr>
          <w:rFonts w:hint="eastAsia"/>
        </w:rPr>
        <w:t>別紙３のとおり把握されている不正を発生させる要因</w:t>
      </w:r>
      <w:r w:rsidRPr="00F85894">
        <w:rPr>
          <w:rFonts w:hint="eastAsia"/>
          <w:szCs w:val="21"/>
        </w:rPr>
        <w:t>の把握に努め，防止計画について，点検・評価を行い，必要に応じて不正防止計画の見直しを行う。</w:t>
      </w:r>
    </w:p>
    <w:p w14:paraId="204863D6" w14:textId="77777777" w:rsidR="00934FF8" w:rsidRPr="00F85894" w:rsidRDefault="00934FF8" w:rsidP="00934FF8">
      <w:pPr>
        <w:rPr>
          <w:szCs w:val="21"/>
        </w:rPr>
      </w:pPr>
    </w:p>
    <w:p w14:paraId="142AC9EF" w14:textId="77777777" w:rsidR="00934FF8" w:rsidRPr="00F85894" w:rsidRDefault="00934FF8" w:rsidP="00934FF8">
      <w:pPr>
        <w:rPr>
          <w:szCs w:val="21"/>
        </w:rPr>
      </w:pPr>
      <w:r w:rsidRPr="00F85894">
        <w:rPr>
          <w:rFonts w:hint="eastAsia"/>
          <w:szCs w:val="21"/>
        </w:rPr>
        <w:t>４　内部監査</w:t>
      </w:r>
    </w:p>
    <w:p w14:paraId="48918A59" w14:textId="465B4548" w:rsidR="0092021F" w:rsidRPr="00F85894" w:rsidRDefault="00D95BE2" w:rsidP="00D353D7">
      <w:pPr>
        <w:ind w:leftChars="100" w:left="210" w:firstLineChars="100" w:firstLine="210"/>
        <w:rPr>
          <w:szCs w:val="21"/>
        </w:rPr>
      </w:pPr>
      <w:r>
        <w:rPr>
          <w:rFonts w:hint="eastAsia"/>
          <w:szCs w:val="21"/>
        </w:rPr>
        <w:t>内部監査</w:t>
      </w:r>
      <w:r w:rsidR="002F2BD9">
        <w:rPr>
          <w:rFonts w:hint="eastAsia"/>
          <w:szCs w:val="21"/>
        </w:rPr>
        <w:t>部門</w:t>
      </w:r>
      <w:r w:rsidR="0092021F" w:rsidRPr="00F85894">
        <w:rPr>
          <w:rFonts w:hint="eastAsia"/>
          <w:szCs w:val="21"/>
        </w:rPr>
        <w:t>（企画部</w:t>
      </w:r>
      <w:r w:rsidR="00323ED0">
        <w:rPr>
          <w:rFonts w:hint="eastAsia"/>
          <w:szCs w:val="21"/>
        </w:rPr>
        <w:t>企画担当</w:t>
      </w:r>
      <w:r w:rsidR="0092021F" w:rsidRPr="00F85894">
        <w:rPr>
          <w:rFonts w:hint="eastAsia"/>
          <w:szCs w:val="21"/>
        </w:rPr>
        <w:t>）は，競争的</w:t>
      </w:r>
      <w:r w:rsidR="009400B7">
        <w:rPr>
          <w:rFonts w:hint="eastAsia"/>
          <w:szCs w:val="21"/>
        </w:rPr>
        <w:t>研究費</w:t>
      </w:r>
      <w:r w:rsidR="0092021F" w:rsidRPr="00F85894">
        <w:rPr>
          <w:rFonts w:hint="eastAsia"/>
          <w:szCs w:val="21"/>
        </w:rPr>
        <w:t>等の事業を実施したセンターについて，翌年度において，内部監査</w:t>
      </w:r>
      <w:r>
        <w:rPr>
          <w:rFonts w:hint="eastAsia"/>
          <w:szCs w:val="21"/>
        </w:rPr>
        <w:t>マニュアルに従い内部監査を実施する。</w:t>
      </w:r>
    </w:p>
    <w:p w14:paraId="12755ED6" w14:textId="1030A554" w:rsidR="00934FF8" w:rsidRPr="00F85894" w:rsidRDefault="0092021F" w:rsidP="00D353D7">
      <w:pPr>
        <w:ind w:leftChars="100" w:left="210" w:firstLineChars="100" w:firstLine="210"/>
        <w:rPr>
          <w:szCs w:val="21"/>
        </w:rPr>
      </w:pPr>
      <w:r w:rsidRPr="00F85894">
        <w:rPr>
          <w:rFonts w:hint="eastAsia"/>
          <w:szCs w:val="21"/>
        </w:rPr>
        <w:t>各センターにおいて，複数の競争的</w:t>
      </w:r>
      <w:r w:rsidR="009400B7">
        <w:rPr>
          <w:rFonts w:hint="eastAsia"/>
          <w:szCs w:val="21"/>
        </w:rPr>
        <w:t>研究費</w:t>
      </w:r>
      <w:r w:rsidRPr="00F85894">
        <w:rPr>
          <w:rFonts w:hint="eastAsia"/>
          <w:szCs w:val="21"/>
        </w:rPr>
        <w:t>を執行している場合は，競争的</w:t>
      </w:r>
      <w:r w:rsidR="009400B7">
        <w:rPr>
          <w:rFonts w:hint="eastAsia"/>
          <w:szCs w:val="21"/>
        </w:rPr>
        <w:t>研究費</w:t>
      </w:r>
      <w:r w:rsidRPr="00F85894">
        <w:rPr>
          <w:rFonts w:hint="eastAsia"/>
          <w:szCs w:val="21"/>
        </w:rPr>
        <w:t>等の事業ごとに内部監査を実施する。</w:t>
      </w:r>
    </w:p>
    <w:p w14:paraId="3BC3FDCD" w14:textId="3543422F" w:rsidR="0092021F" w:rsidRPr="00F85894" w:rsidRDefault="000831D4" w:rsidP="00D353D7">
      <w:pPr>
        <w:ind w:leftChars="100" w:left="210" w:firstLineChars="100" w:firstLine="210"/>
      </w:pPr>
      <w:r>
        <w:rPr>
          <w:rFonts w:hint="eastAsia"/>
        </w:rPr>
        <w:t>内部監査</w:t>
      </w:r>
      <w:r w:rsidR="002F2BD9">
        <w:rPr>
          <w:rFonts w:hint="eastAsia"/>
        </w:rPr>
        <w:t>部門</w:t>
      </w:r>
      <w:r w:rsidR="0092021F" w:rsidRPr="00F85894">
        <w:rPr>
          <w:rFonts w:hint="eastAsia"/>
        </w:rPr>
        <w:t>は，効率的な監査執行の観点から，内部監査の対象となる事業が地方自治法</w:t>
      </w:r>
      <w:r w:rsidR="00D353D7" w:rsidRPr="00F85894">
        <w:rPr>
          <w:rFonts w:hint="eastAsia"/>
        </w:rPr>
        <w:t>（昭和</w:t>
      </w:r>
      <w:r w:rsidR="00D353D7" w:rsidRPr="00F85894">
        <w:rPr>
          <w:rFonts w:hint="eastAsia"/>
        </w:rPr>
        <w:t>22</w:t>
      </w:r>
      <w:r w:rsidR="00D353D7" w:rsidRPr="00F85894">
        <w:rPr>
          <w:rFonts w:hint="eastAsia"/>
        </w:rPr>
        <w:t>年法律第</w:t>
      </w:r>
      <w:r w:rsidR="00D353D7" w:rsidRPr="00F85894">
        <w:rPr>
          <w:rFonts w:hint="eastAsia"/>
        </w:rPr>
        <w:t>67</w:t>
      </w:r>
      <w:r w:rsidR="00D353D7" w:rsidRPr="00F85894">
        <w:rPr>
          <w:rFonts w:hint="eastAsia"/>
        </w:rPr>
        <w:t>号）</w:t>
      </w:r>
      <w:r w:rsidR="0092021F" w:rsidRPr="00F85894">
        <w:rPr>
          <w:rFonts w:hint="eastAsia"/>
        </w:rPr>
        <w:t>第</w:t>
      </w:r>
      <w:r w:rsidR="00D353D7" w:rsidRPr="00F85894">
        <w:rPr>
          <w:rFonts w:hint="eastAsia"/>
        </w:rPr>
        <w:t>199</w:t>
      </w:r>
      <w:r w:rsidR="00D353D7" w:rsidRPr="00F85894">
        <w:rPr>
          <w:rFonts w:hint="eastAsia"/>
        </w:rPr>
        <w:t>条</w:t>
      </w:r>
      <w:r w:rsidR="0092021F" w:rsidRPr="00F85894">
        <w:rPr>
          <w:rFonts w:hint="eastAsia"/>
        </w:rPr>
        <w:t>第</w:t>
      </w:r>
      <w:r w:rsidR="0092021F" w:rsidRPr="00F85894">
        <w:rPr>
          <w:rFonts w:hint="eastAsia"/>
        </w:rPr>
        <w:t>1</w:t>
      </w:r>
      <w:r w:rsidR="0092021F" w:rsidRPr="00F85894">
        <w:rPr>
          <w:rFonts w:hint="eastAsia"/>
        </w:rPr>
        <w:t>項及び第</w:t>
      </w:r>
      <w:r w:rsidR="0092021F" w:rsidRPr="00F85894">
        <w:rPr>
          <w:rFonts w:hint="eastAsia"/>
        </w:rPr>
        <w:t>4</w:t>
      </w:r>
      <w:r w:rsidR="00A8226A" w:rsidRPr="00F85894">
        <w:rPr>
          <w:rFonts w:hint="eastAsia"/>
        </w:rPr>
        <w:t>項に基づく監査及びその他の県関係機関</w:t>
      </w:r>
      <w:r w:rsidR="0092021F" w:rsidRPr="00F85894">
        <w:rPr>
          <w:rFonts w:hint="eastAsia"/>
        </w:rPr>
        <w:t>内で行われるモニタリング，監査と重複しないよう配慮</w:t>
      </w:r>
      <w:r w:rsidR="00A8226A" w:rsidRPr="00F85894">
        <w:rPr>
          <w:rFonts w:hint="eastAsia"/>
        </w:rPr>
        <w:t>するとともに，連携を図るものとする。</w:t>
      </w:r>
    </w:p>
    <w:p w14:paraId="68EC74F1" w14:textId="77777777" w:rsidR="0092021F" w:rsidRPr="00F85894" w:rsidRDefault="0092021F" w:rsidP="00D353D7">
      <w:pPr>
        <w:ind w:leftChars="100" w:left="210" w:firstLineChars="100" w:firstLine="210"/>
      </w:pPr>
    </w:p>
    <w:p w14:paraId="524F28BA" w14:textId="77777777" w:rsidR="00062A81" w:rsidRDefault="00062A81" w:rsidP="00062A81">
      <w:pPr>
        <w:rPr>
          <w:szCs w:val="21"/>
        </w:rPr>
      </w:pPr>
    </w:p>
    <w:p w14:paraId="41DA45FB" w14:textId="77777777" w:rsidR="00825CE2" w:rsidRDefault="00825CE2" w:rsidP="00062A81">
      <w:pPr>
        <w:rPr>
          <w:szCs w:val="21"/>
        </w:rPr>
      </w:pPr>
    </w:p>
    <w:p w14:paraId="6DBB82ED" w14:textId="77777777" w:rsidR="00BE3195" w:rsidRPr="00F85894" w:rsidRDefault="00BE3195" w:rsidP="00062A81">
      <w:pPr>
        <w:rPr>
          <w:szCs w:val="21"/>
        </w:rPr>
      </w:pPr>
    </w:p>
    <w:p w14:paraId="4D9AA8A5" w14:textId="77777777" w:rsidR="00545E4B" w:rsidRPr="00F85894" w:rsidRDefault="004E5067" w:rsidP="00143FC2">
      <w:pPr>
        <w:ind w:left="210" w:hangingChars="100" w:hanging="210"/>
        <w:jc w:val="right"/>
      </w:pPr>
      <w:r w:rsidRPr="00F85894">
        <w:rPr>
          <w:rFonts w:hint="eastAsia"/>
        </w:rPr>
        <w:lastRenderedPageBreak/>
        <w:t>（別紙１）</w:t>
      </w:r>
    </w:p>
    <w:p w14:paraId="4144A72B" w14:textId="77777777" w:rsidR="004E5067" w:rsidRPr="00F85894" w:rsidRDefault="004E5067" w:rsidP="004137CD">
      <w:pPr>
        <w:ind w:left="210" w:hangingChars="100" w:hanging="210"/>
      </w:pPr>
    </w:p>
    <w:p w14:paraId="01CE05AD" w14:textId="1D56A488" w:rsidR="008166A8" w:rsidRPr="00F85894" w:rsidRDefault="008166A8" w:rsidP="00827BCC">
      <w:pPr>
        <w:ind w:leftChars="100" w:left="210" w:firstLineChars="500" w:firstLine="1050"/>
      </w:pPr>
      <w:r w:rsidRPr="00F85894">
        <w:rPr>
          <w:rFonts w:hint="eastAsia"/>
        </w:rPr>
        <w:t>広島県立総合技術研究所における研究活動及び競争的</w:t>
      </w:r>
      <w:r w:rsidR="009400B7">
        <w:rPr>
          <w:rFonts w:hint="eastAsia"/>
        </w:rPr>
        <w:t>研究費</w:t>
      </w:r>
      <w:r w:rsidRPr="00F85894">
        <w:rPr>
          <w:rFonts w:hint="eastAsia"/>
        </w:rPr>
        <w:t>の</w:t>
      </w:r>
    </w:p>
    <w:p w14:paraId="57BC6449" w14:textId="77777777" w:rsidR="008166A8" w:rsidRPr="00F85894" w:rsidRDefault="008166A8" w:rsidP="00827BCC">
      <w:pPr>
        <w:ind w:leftChars="100" w:left="210" w:firstLineChars="500" w:firstLine="1050"/>
      </w:pPr>
      <w:r w:rsidRPr="00F85894">
        <w:rPr>
          <w:rFonts w:hint="eastAsia"/>
        </w:rPr>
        <w:t>適正執行・管理に関する確認書</w:t>
      </w:r>
    </w:p>
    <w:p w14:paraId="71602554" w14:textId="77777777" w:rsidR="008166A8" w:rsidRPr="00F85894" w:rsidRDefault="00F44013" w:rsidP="004137CD">
      <w:pPr>
        <w:ind w:left="210" w:hangingChars="100" w:hanging="210"/>
      </w:pPr>
      <w:r w:rsidRPr="00F85894">
        <w:rPr>
          <w:rFonts w:hint="eastAsia"/>
        </w:rPr>
        <w:t xml:space="preserve">　　　　　　　　　　　　　　　　　　　　　　　　　　　</w:t>
      </w:r>
    </w:p>
    <w:p w14:paraId="1084EC13" w14:textId="77777777" w:rsidR="008166A8" w:rsidRPr="00F85894" w:rsidRDefault="008166A8" w:rsidP="00884427">
      <w:pPr>
        <w:ind w:leftChars="100" w:left="210"/>
      </w:pPr>
      <w:r w:rsidRPr="00F85894">
        <w:rPr>
          <w:rFonts w:hint="eastAsia"/>
        </w:rPr>
        <w:t>広島県立総合技術研究所長　様</w:t>
      </w:r>
    </w:p>
    <w:p w14:paraId="56613F63" w14:textId="77777777" w:rsidR="008166A8" w:rsidRPr="00F85894" w:rsidRDefault="008166A8" w:rsidP="004137CD">
      <w:pPr>
        <w:ind w:left="210" w:hangingChars="100" w:hanging="210"/>
      </w:pPr>
    </w:p>
    <w:p w14:paraId="6BC9926D" w14:textId="77777777" w:rsidR="008166A8" w:rsidRPr="00F85894" w:rsidRDefault="008166A8" w:rsidP="007A20DD">
      <w:pPr>
        <w:ind w:leftChars="100" w:left="210" w:firstLineChars="100" w:firstLine="210"/>
      </w:pPr>
      <w:r w:rsidRPr="00F85894">
        <w:rPr>
          <w:rFonts w:hint="eastAsia"/>
        </w:rPr>
        <w:t>次の事項を確認しました。</w:t>
      </w:r>
    </w:p>
    <w:p w14:paraId="2F035B28" w14:textId="77777777" w:rsidR="008166A8" w:rsidRPr="00F85894" w:rsidRDefault="008166A8" w:rsidP="004137CD">
      <w:pPr>
        <w:ind w:left="210" w:hangingChars="100" w:hanging="210"/>
      </w:pPr>
    </w:p>
    <w:p w14:paraId="2ECCD53D" w14:textId="77777777" w:rsidR="008166A8" w:rsidRPr="00F85894" w:rsidRDefault="008166A8" w:rsidP="007A20DD">
      <w:pPr>
        <w:ind w:leftChars="100" w:left="210" w:firstLineChars="100" w:firstLine="210"/>
      </w:pPr>
      <w:r w:rsidRPr="00F85894">
        <w:rPr>
          <w:rFonts w:hint="eastAsia"/>
        </w:rPr>
        <w:t>１　広島県会計規則等の関係法令・規則等を遵守すること</w:t>
      </w:r>
    </w:p>
    <w:p w14:paraId="031D587C" w14:textId="1FF2B852" w:rsidR="008166A8" w:rsidRPr="00F85894" w:rsidRDefault="00A21F09" w:rsidP="007A20DD">
      <w:pPr>
        <w:ind w:leftChars="100" w:left="210" w:firstLineChars="100" w:firstLine="210"/>
      </w:pPr>
      <w:r w:rsidRPr="00F85894">
        <w:rPr>
          <w:rFonts w:hint="eastAsia"/>
        </w:rPr>
        <w:t>２　研究活動及び競争的</w:t>
      </w:r>
      <w:r w:rsidR="009400B7">
        <w:rPr>
          <w:rFonts w:hint="eastAsia"/>
        </w:rPr>
        <w:t>研究費</w:t>
      </w:r>
      <w:r w:rsidRPr="00F85894">
        <w:rPr>
          <w:rFonts w:hint="eastAsia"/>
        </w:rPr>
        <w:t>等の不正</w:t>
      </w:r>
      <w:r w:rsidR="008166A8" w:rsidRPr="00F85894">
        <w:rPr>
          <w:rFonts w:hint="eastAsia"/>
        </w:rPr>
        <w:t>を行わないこと</w:t>
      </w:r>
    </w:p>
    <w:p w14:paraId="17D83FED" w14:textId="77777777" w:rsidR="008166A8" w:rsidRPr="00F85894" w:rsidRDefault="008166A8" w:rsidP="007A20DD">
      <w:pPr>
        <w:ind w:leftChars="200" w:left="840" w:hangingChars="200" w:hanging="420"/>
      </w:pPr>
      <w:r w:rsidRPr="00F85894">
        <w:rPr>
          <w:rFonts w:hint="eastAsia"/>
        </w:rPr>
        <w:t>３　規則等に違反して不正を行った場合は，総研や配分機関の処分及び法的な責任を負担すること。</w:t>
      </w:r>
    </w:p>
    <w:p w14:paraId="5E192763" w14:textId="77777777" w:rsidR="008166A8" w:rsidRPr="00F85894" w:rsidRDefault="008166A8" w:rsidP="007A20DD">
      <w:pPr>
        <w:ind w:leftChars="100" w:left="210" w:firstLineChars="100" w:firstLine="210"/>
      </w:pPr>
      <w:r w:rsidRPr="00F85894">
        <w:rPr>
          <w:rFonts w:hint="eastAsia"/>
        </w:rPr>
        <w:t>４　コンプライアンス教育の内容を理解し，</w:t>
      </w:r>
      <w:r w:rsidR="00827BCC" w:rsidRPr="00F85894">
        <w:rPr>
          <w:rFonts w:hint="eastAsia"/>
        </w:rPr>
        <w:t>適正な研究活動を実施すること</w:t>
      </w:r>
    </w:p>
    <w:p w14:paraId="0608EBF7" w14:textId="77777777" w:rsidR="004E5067" w:rsidRPr="00F85894" w:rsidRDefault="004E5067" w:rsidP="004137CD">
      <w:pPr>
        <w:ind w:left="210" w:hangingChars="100" w:hanging="210"/>
      </w:pPr>
    </w:p>
    <w:p w14:paraId="1F5124E5" w14:textId="3D95DD22" w:rsidR="00143FC2" w:rsidRPr="00F85894" w:rsidRDefault="00827BCC" w:rsidP="00827BCC">
      <w:pPr>
        <w:tabs>
          <w:tab w:val="left" w:pos="1827"/>
        </w:tabs>
        <w:ind w:left="210" w:hangingChars="100" w:hanging="210"/>
        <w:rPr>
          <w:u w:val="single"/>
        </w:rPr>
      </w:pPr>
      <w:r w:rsidRPr="00F85894">
        <w:rPr>
          <w:rFonts w:hint="eastAsia"/>
        </w:rPr>
        <w:t xml:space="preserve">　　　</w:t>
      </w:r>
      <w:r w:rsidR="009F205F" w:rsidRPr="00F85894">
        <w:rPr>
          <w:rFonts w:hint="eastAsia"/>
        </w:rPr>
        <w:t>競争的</w:t>
      </w:r>
      <w:r w:rsidR="009400B7">
        <w:rPr>
          <w:rFonts w:hint="eastAsia"/>
        </w:rPr>
        <w:t>研究費</w:t>
      </w:r>
      <w:r w:rsidR="009F205F" w:rsidRPr="00F85894">
        <w:rPr>
          <w:rFonts w:hint="eastAsia"/>
        </w:rPr>
        <w:t>の事業名</w:t>
      </w:r>
      <w:r w:rsidRPr="00F85894">
        <w:rPr>
          <w:rFonts w:hint="eastAsia"/>
          <w:u w:val="single"/>
        </w:rPr>
        <w:t xml:space="preserve">：　　　　　　　　　　　</w:t>
      </w:r>
      <w:r w:rsidR="005B4FF9" w:rsidRPr="00F85894">
        <w:rPr>
          <w:rFonts w:hint="eastAsia"/>
          <w:u w:val="single"/>
        </w:rPr>
        <w:t xml:space="preserve">　　</w:t>
      </w:r>
      <w:r w:rsidR="001F3722" w:rsidRPr="00F85894">
        <w:rPr>
          <w:rFonts w:hint="eastAsia"/>
          <w:u w:val="single"/>
        </w:rPr>
        <w:t xml:space="preserve">　　　　　　　　　　　　</w:t>
      </w:r>
    </w:p>
    <w:p w14:paraId="07012795" w14:textId="77777777" w:rsidR="00F44013" w:rsidRPr="00F85894" w:rsidRDefault="00F44013" w:rsidP="00827BCC">
      <w:pPr>
        <w:tabs>
          <w:tab w:val="left" w:pos="1827"/>
        </w:tabs>
        <w:ind w:left="210" w:hangingChars="100" w:hanging="210"/>
      </w:pPr>
      <w:r w:rsidRPr="00F85894">
        <w:rPr>
          <w:rFonts w:hint="eastAsia"/>
        </w:rPr>
        <w:t xml:space="preserve">　　　提出日：　年　月　日</w:t>
      </w:r>
      <w:r w:rsidR="005B4FF9" w:rsidRPr="00F85894">
        <w:rPr>
          <w:rFonts w:hint="eastAsia"/>
        </w:rPr>
        <w:t xml:space="preserve">　　（　新規　・　継続　・　変更　）</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843"/>
        <w:gridCol w:w="3543"/>
      </w:tblGrid>
      <w:tr w:rsidR="00F85894" w:rsidRPr="00F85894" w14:paraId="1E3561B3" w14:textId="77777777" w:rsidTr="0005459A">
        <w:trPr>
          <w:trHeight w:val="451"/>
        </w:trPr>
        <w:tc>
          <w:tcPr>
            <w:tcW w:w="1418" w:type="dxa"/>
            <w:vAlign w:val="center"/>
          </w:tcPr>
          <w:p w14:paraId="5258300E" w14:textId="77777777" w:rsidR="009F205F" w:rsidRPr="00F85894" w:rsidRDefault="009F205F" w:rsidP="00827BCC">
            <w:pPr>
              <w:ind w:left="25"/>
            </w:pPr>
            <w:r w:rsidRPr="00F85894">
              <w:br w:type="page"/>
            </w:r>
            <w:r w:rsidRPr="00F85894">
              <w:rPr>
                <w:rFonts w:hint="eastAsia"/>
              </w:rPr>
              <w:t>確認年月日</w:t>
            </w:r>
          </w:p>
        </w:tc>
        <w:tc>
          <w:tcPr>
            <w:tcW w:w="1701" w:type="dxa"/>
            <w:vAlign w:val="center"/>
          </w:tcPr>
          <w:p w14:paraId="1C387A61" w14:textId="77777777" w:rsidR="009F205F" w:rsidRPr="00F85894" w:rsidRDefault="009F205F" w:rsidP="00827BCC">
            <w:r w:rsidRPr="00F85894">
              <w:rPr>
                <w:rFonts w:hint="eastAsia"/>
              </w:rPr>
              <w:t>所属</w:t>
            </w:r>
          </w:p>
        </w:tc>
        <w:tc>
          <w:tcPr>
            <w:tcW w:w="1843" w:type="dxa"/>
            <w:vAlign w:val="center"/>
          </w:tcPr>
          <w:p w14:paraId="3DBBA74A" w14:textId="77777777" w:rsidR="009F205F" w:rsidRPr="00F85894" w:rsidRDefault="009F205F" w:rsidP="009F205F">
            <w:r w:rsidRPr="00F85894">
              <w:rPr>
                <w:rFonts w:hint="eastAsia"/>
              </w:rPr>
              <w:t>職</w:t>
            </w:r>
          </w:p>
        </w:tc>
        <w:tc>
          <w:tcPr>
            <w:tcW w:w="3543" w:type="dxa"/>
            <w:vAlign w:val="center"/>
          </w:tcPr>
          <w:p w14:paraId="630DA9BB" w14:textId="77777777" w:rsidR="009F205F" w:rsidRPr="00F85894" w:rsidRDefault="009F205F" w:rsidP="009F205F">
            <w:r w:rsidRPr="00F85894">
              <w:rPr>
                <w:rFonts w:hint="eastAsia"/>
              </w:rPr>
              <w:t>署名（自署）</w:t>
            </w:r>
          </w:p>
        </w:tc>
      </w:tr>
      <w:tr w:rsidR="00F85894" w:rsidRPr="00F85894" w14:paraId="23AAB68F" w14:textId="77777777" w:rsidTr="0005459A">
        <w:trPr>
          <w:trHeight w:val="667"/>
        </w:trPr>
        <w:tc>
          <w:tcPr>
            <w:tcW w:w="1418" w:type="dxa"/>
            <w:vAlign w:val="center"/>
          </w:tcPr>
          <w:p w14:paraId="00F1BFB0" w14:textId="77777777" w:rsidR="009F205F" w:rsidRPr="00F85894" w:rsidRDefault="009F205F" w:rsidP="00827BCC">
            <w:pPr>
              <w:ind w:left="25"/>
            </w:pPr>
          </w:p>
        </w:tc>
        <w:tc>
          <w:tcPr>
            <w:tcW w:w="1701" w:type="dxa"/>
            <w:vAlign w:val="center"/>
          </w:tcPr>
          <w:p w14:paraId="55536421" w14:textId="77777777" w:rsidR="009F205F" w:rsidRPr="00F85894" w:rsidRDefault="009F205F" w:rsidP="00827BCC"/>
        </w:tc>
        <w:tc>
          <w:tcPr>
            <w:tcW w:w="1843" w:type="dxa"/>
            <w:vAlign w:val="center"/>
          </w:tcPr>
          <w:p w14:paraId="7B3531BC" w14:textId="77777777" w:rsidR="009F205F" w:rsidRPr="00F85894" w:rsidRDefault="009F205F" w:rsidP="00827BCC"/>
        </w:tc>
        <w:tc>
          <w:tcPr>
            <w:tcW w:w="3543" w:type="dxa"/>
            <w:vAlign w:val="center"/>
          </w:tcPr>
          <w:p w14:paraId="42C1E63E" w14:textId="77777777" w:rsidR="009F205F" w:rsidRPr="00F85894" w:rsidRDefault="009F205F" w:rsidP="00827BCC"/>
        </w:tc>
      </w:tr>
      <w:tr w:rsidR="00F85894" w:rsidRPr="00F85894" w14:paraId="6BF403EF" w14:textId="77777777" w:rsidTr="0005459A">
        <w:trPr>
          <w:trHeight w:val="731"/>
        </w:trPr>
        <w:tc>
          <w:tcPr>
            <w:tcW w:w="1418" w:type="dxa"/>
            <w:vAlign w:val="center"/>
          </w:tcPr>
          <w:p w14:paraId="672A6436" w14:textId="77777777" w:rsidR="009F205F" w:rsidRPr="00F85894" w:rsidRDefault="009F205F" w:rsidP="00827BCC">
            <w:pPr>
              <w:ind w:left="25"/>
            </w:pPr>
          </w:p>
        </w:tc>
        <w:tc>
          <w:tcPr>
            <w:tcW w:w="1701" w:type="dxa"/>
            <w:vAlign w:val="center"/>
          </w:tcPr>
          <w:p w14:paraId="60536AC5" w14:textId="77777777" w:rsidR="009F205F" w:rsidRPr="00F85894" w:rsidRDefault="009F205F" w:rsidP="00827BCC"/>
        </w:tc>
        <w:tc>
          <w:tcPr>
            <w:tcW w:w="1843" w:type="dxa"/>
            <w:vAlign w:val="center"/>
          </w:tcPr>
          <w:p w14:paraId="7B33EAC5" w14:textId="77777777" w:rsidR="009F205F" w:rsidRPr="00F85894" w:rsidRDefault="009F205F" w:rsidP="00827BCC"/>
        </w:tc>
        <w:tc>
          <w:tcPr>
            <w:tcW w:w="3543" w:type="dxa"/>
            <w:vAlign w:val="center"/>
          </w:tcPr>
          <w:p w14:paraId="11C2744A" w14:textId="77777777" w:rsidR="009F205F" w:rsidRPr="00F85894" w:rsidRDefault="009F205F" w:rsidP="00827BCC"/>
        </w:tc>
      </w:tr>
      <w:tr w:rsidR="00F85894" w:rsidRPr="00F85894" w14:paraId="496715B6" w14:textId="77777777" w:rsidTr="0005459A">
        <w:trPr>
          <w:trHeight w:val="753"/>
        </w:trPr>
        <w:tc>
          <w:tcPr>
            <w:tcW w:w="1418" w:type="dxa"/>
            <w:vAlign w:val="center"/>
          </w:tcPr>
          <w:p w14:paraId="0B47EBDA" w14:textId="77777777" w:rsidR="009F205F" w:rsidRPr="00F85894" w:rsidRDefault="009F205F" w:rsidP="00827BCC">
            <w:pPr>
              <w:ind w:left="25"/>
            </w:pPr>
          </w:p>
        </w:tc>
        <w:tc>
          <w:tcPr>
            <w:tcW w:w="1701" w:type="dxa"/>
            <w:vAlign w:val="center"/>
          </w:tcPr>
          <w:p w14:paraId="612FBFC4" w14:textId="77777777" w:rsidR="009F205F" w:rsidRPr="00F85894" w:rsidRDefault="009F205F" w:rsidP="00827BCC"/>
        </w:tc>
        <w:tc>
          <w:tcPr>
            <w:tcW w:w="1843" w:type="dxa"/>
            <w:vAlign w:val="center"/>
          </w:tcPr>
          <w:p w14:paraId="7FDCBD88" w14:textId="77777777" w:rsidR="009F205F" w:rsidRPr="00F85894" w:rsidRDefault="009F205F" w:rsidP="00827BCC"/>
        </w:tc>
        <w:tc>
          <w:tcPr>
            <w:tcW w:w="3543" w:type="dxa"/>
            <w:vAlign w:val="center"/>
          </w:tcPr>
          <w:p w14:paraId="526009DC" w14:textId="77777777" w:rsidR="009F205F" w:rsidRPr="00F85894" w:rsidRDefault="009F205F" w:rsidP="00827BCC"/>
        </w:tc>
      </w:tr>
      <w:tr w:rsidR="00F85894" w:rsidRPr="00F85894" w14:paraId="0C7592D8" w14:textId="77777777" w:rsidTr="0005459A">
        <w:trPr>
          <w:trHeight w:val="753"/>
        </w:trPr>
        <w:tc>
          <w:tcPr>
            <w:tcW w:w="1418" w:type="dxa"/>
            <w:vAlign w:val="center"/>
          </w:tcPr>
          <w:p w14:paraId="12B8CA53" w14:textId="77777777" w:rsidR="009F205F" w:rsidRPr="00F85894" w:rsidRDefault="009F205F" w:rsidP="00827BCC">
            <w:pPr>
              <w:ind w:left="25"/>
            </w:pPr>
          </w:p>
        </w:tc>
        <w:tc>
          <w:tcPr>
            <w:tcW w:w="1701" w:type="dxa"/>
            <w:vAlign w:val="center"/>
          </w:tcPr>
          <w:p w14:paraId="56369882" w14:textId="77777777" w:rsidR="009F205F" w:rsidRPr="00F85894" w:rsidRDefault="009F205F" w:rsidP="00827BCC"/>
        </w:tc>
        <w:tc>
          <w:tcPr>
            <w:tcW w:w="1843" w:type="dxa"/>
            <w:vAlign w:val="center"/>
          </w:tcPr>
          <w:p w14:paraId="0785A293" w14:textId="77777777" w:rsidR="009F205F" w:rsidRPr="00F85894" w:rsidRDefault="009F205F" w:rsidP="00827BCC"/>
        </w:tc>
        <w:tc>
          <w:tcPr>
            <w:tcW w:w="3543" w:type="dxa"/>
            <w:vAlign w:val="center"/>
          </w:tcPr>
          <w:p w14:paraId="2CBA91BC" w14:textId="77777777" w:rsidR="009F205F" w:rsidRPr="00F85894" w:rsidRDefault="009F205F" w:rsidP="00827BCC"/>
        </w:tc>
      </w:tr>
      <w:tr w:rsidR="00F85894" w:rsidRPr="00F85894" w14:paraId="167FDBBC" w14:textId="77777777" w:rsidTr="0005459A">
        <w:trPr>
          <w:trHeight w:val="744"/>
        </w:trPr>
        <w:tc>
          <w:tcPr>
            <w:tcW w:w="1418" w:type="dxa"/>
            <w:vAlign w:val="center"/>
          </w:tcPr>
          <w:p w14:paraId="158F2F21" w14:textId="77777777" w:rsidR="009F205F" w:rsidRPr="00F85894" w:rsidRDefault="009F205F" w:rsidP="00827BCC">
            <w:pPr>
              <w:ind w:left="25"/>
            </w:pPr>
          </w:p>
        </w:tc>
        <w:tc>
          <w:tcPr>
            <w:tcW w:w="1701" w:type="dxa"/>
            <w:vAlign w:val="center"/>
          </w:tcPr>
          <w:p w14:paraId="310FC37B" w14:textId="77777777" w:rsidR="009F205F" w:rsidRPr="00F85894" w:rsidRDefault="009F205F" w:rsidP="00827BCC"/>
        </w:tc>
        <w:tc>
          <w:tcPr>
            <w:tcW w:w="1843" w:type="dxa"/>
            <w:vAlign w:val="center"/>
          </w:tcPr>
          <w:p w14:paraId="44CB0BE4" w14:textId="77777777" w:rsidR="009F205F" w:rsidRPr="00F85894" w:rsidRDefault="009F205F" w:rsidP="00827BCC"/>
        </w:tc>
        <w:tc>
          <w:tcPr>
            <w:tcW w:w="3543" w:type="dxa"/>
            <w:vAlign w:val="center"/>
          </w:tcPr>
          <w:p w14:paraId="3C940B3C" w14:textId="77777777" w:rsidR="009F205F" w:rsidRPr="00F85894" w:rsidRDefault="009F205F" w:rsidP="00827BCC"/>
        </w:tc>
      </w:tr>
      <w:tr w:rsidR="00F85894" w:rsidRPr="00F85894" w14:paraId="1449238C" w14:textId="77777777" w:rsidTr="0005459A">
        <w:trPr>
          <w:trHeight w:val="744"/>
        </w:trPr>
        <w:tc>
          <w:tcPr>
            <w:tcW w:w="1418" w:type="dxa"/>
            <w:vAlign w:val="center"/>
          </w:tcPr>
          <w:p w14:paraId="421D7418" w14:textId="77777777" w:rsidR="005B4FF9" w:rsidRPr="00F85894" w:rsidRDefault="005B4FF9" w:rsidP="00827BCC">
            <w:pPr>
              <w:ind w:left="25"/>
            </w:pPr>
          </w:p>
        </w:tc>
        <w:tc>
          <w:tcPr>
            <w:tcW w:w="1701" w:type="dxa"/>
            <w:vAlign w:val="center"/>
          </w:tcPr>
          <w:p w14:paraId="7EFB8A6A" w14:textId="77777777" w:rsidR="005B4FF9" w:rsidRPr="00F85894" w:rsidRDefault="005B4FF9" w:rsidP="00827BCC"/>
        </w:tc>
        <w:tc>
          <w:tcPr>
            <w:tcW w:w="1843" w:type="dxa"/>
            <w:vAlign w:val="center"/>
          </w:tcPr>
          <w:p w14:paraId="12FA1293" w14:textId="77777777" w:rsidR="005B4FF9" w:rsidRPr="00F85894" w:rsidRDefault="005B4FF9" w:rsidP="00827BCC"/>
        </w:tc>
        <w:tc>
          <w:tcPr>
            <w:tcW w:w="3543" w:type="dxa"/>
            <w:vAlign w:val="center"/>
          </w:tcPr>
          <w:p w14:paraId="1EA753DE" w14:textId="77777777" w:rsidR="005B4FF9" w:rsidRPr="00F85894" w:rsidRDefault="005B4FF9" w:rsidP="00827BCC"/>
        </w:tc>
      </w:tr>
      <w:tr w:rsidR="00F85894" w:rsidRPr="00F85894" w14:paraId="4F3AC81D" w14:textId="77777777" w:rsidTr="0005459A">
        <w:trPr>
          <w:trHeight w:val="744"/>
        </w:trPr>
        <w:tc>
          <w:tcPr>
            <w:tcW w:w="1418" w:type="dxa"/>
            <w:vAlign w:val="center"/>
          </w:tcPr>
          <w:p w14:paraId="54E578AA" w14:textId="77777777" w:rsidR="005B4FF9" w:rsidRPr="00F85894" w:rsidRDefault="005B4FF9" w:rsidP="00827BCC">
            <w:pPr>
              <w:ind w:left="25"/>
            </w:pPr>
          </w:p>
        </w:tc>
        <w:tc>
          <w:tcPr>
            <w:tcW w:w="1701" w:type="dxa"/>
            <w:vAlign w:val="center"/>
          </w:tcPr>
          <w:p w14:paraId="0253048D" w14:textId="77777777" w:rsidR="005B4FF9" w:rsidRPr="00F85894" w:rsidRDefault="005B4FF9" w:rsidP="00827BCC"/>
        </w:tc>
        <w:tc>
          <w:tcPr>
            <w:tcW w:w="1843" w:type="dxa"/>
            <w:vAlign w:val="center"/>
          </w:tcPr>
          <w:p w14:paraId="45E25330" w14:textId="77777777" w:rsidR="005B4FF9" w:rsidRPr="00F85894" w:rsidRDefault="005B4FF9" w:rsidP="00827BCC"/>
        </w:tc>
        <w:tc>
          <w:tcPr>
            <w:tcW w:w="3543" w:type="dxa"/>
            <w:vAlign w:val="center"/>
          </w:tcPr>
          <w:p w14:paraId="169E3A99" w14:textId="77777777" w:rsidR="005B4FF9" w:rsidRPr="00F85894" w:rsidRDefault="005B4FF9" w:rsidP="00827BCC"/>
        </w:tc>
      </w:tr>
    </w:tbl>
    <w:p w14:paraId="1D1BD3C8" w14:textId="395135CC" w:rsidR="007A20DD" w:rsidRPr="00F85894" w:rsidRDefault="007A20DD" w:rsidP="00C0360D">
      <w:pPr>
        <w:spacing w:line="0" w:lineRule="atLeast"/>
        <w:ind w:right="840"/>
      </w:pPr>
      <w:r w:rsidRPr="00F85894">
        <w:rPr>
          <w:rFonts w:hint="eastAsia"/>
        </w:rPr>
        <w:t xml:space="preserve">　　　</w:t>
      </w:r>
      <w:r w:rsidR="009F205F" w:rsidRPr="00F85894">
        <w:rPr>
          <w:rFonts w:hint="eastAsia"/>
        </w:rPr>
        <w:t>※１：配分を受ける競争的</w:t>
      </w:r>
      <w:r w:rsidR="009400B7">
        <w:rPr>
          <w:rFonts w:hint="eastAsia"/>
        </w:rPr>
        <w:t>研究費</w:t>
      </w:r>
      <w:r w:rsidR="009F205F" w:rsidRPr="00F85894">
        <w:rPr>
          <w:rFonts w:hint="eastAsia"/>
        </w:rPr>
        <w:t>等の事業ごとに記載する。</w:t>
      </w:r>
    </w:p>
    <w:p w14:paraId="4F9871ED" w14:textId="77777777" w:rsidR="009F205F" w:rsidRPr="00F85894" w:rsidRDefault="009F205F" w:rsidP="00C0360D">
      <w:pPr>
        <w:tabs>
          <w:tab w:val="left" w:pos="8504"/>
        </w:tabs>
        <w:spacing w:line="0" w:lineRule="atLeast"/>
        <w:ind w:left="1260" w:right="-1" w:hangingChars="600" w:hanging="1260"/>
      </w:pPr>
      <w:r w:rsidRPr="00F85894">
        <w:rPr>
          <w:rFonts w:hint="eastAsia"/>
        </w:rPr>
        <w:t xml:space="preserve">　　　※２：配分が複数年に及ぶ場合や，関係する研究者等が追加となる場合は，毎年度，作成して提出する。</w:t>
      </w:r>
    </w:p>
    <w:p w14:paraId="26577BDF" w14:textId="77777777" w:rsidR="00D353D7" w:rsidRPr="00F85894" w:rsidRDefault="00F44013" w:rsidP="00C0360D">
      <w:pPr>
        <w:spacing w:line="0" w:lineRule="atLeast"/>
        <w:ind w:left="1260" w:right="-1" w:hangingChars="600" w:hanging="1260"/>
      </w:pPr>
      <w:r w:rsidRPr="00F85894">
        <w:rPr>
          <w:rFonts w:hint="eastAsia"/>
        </w:rPr>
        <w:t xml:space="preserve">　　　</w:t>
      </w:r>
      <w:r w:rsidR="005B4FF9" w:rsidRPr="00F85894">
        <w:rPr>
          <w:rFonts w:hint="eastAsia"/>
        </w:rPr>
        <w:t>※３：事業に関係する研究職員，事務部門の職員，非常勤職員はすべて記載する。</w:t>
      </w:r>
    </w:p>
    <w:p w14:paraId="0537EDA3" w14:textId="77777777" w:rsidR="007A20DD" w:rsidRPr="00F85894" w:rsidRDefault="00D353D7" w:rsidP="00C0360D">
      <w:pPr>
        <w:tabs>
          <w:tab w:val="left" w:pos="8505"/>
        </w:tabs>
        <w:spacing w:line="0" w:lineRule="atLeast"/>
      </w:pPr>
      <w:r w:rsidRPr="00F85894">
        <w:rPr>
          <w:rFonts w:hint="eastAsia"/>
        </w:rPr>
        <w:t xml:space="preserve">　　　※４：複数のセンターが関係する場合は事業の中核となるセンターが集約する。</w:t>
      </w:r>
    </w:p>
    <w:p w14:paraId="4DA42E9A" w14:textId="77777777" w:rsidR="00934FF8" w:rsidRPr="00F85894" w:rsidRDefault="00934FF8">
      <w:pPr>
        <w:widowControl/>
        <w:jc w:val="left"/>
      </w:pPr>
      <w:r w:rsidRPr="00F85894">
        <w:br w:type="page"/>
      </w:r>
    </w:p>
    <w:p w14:paraId="2E9CA01D" w14:textId="77777777" w:rsidR="00143FC2" w:rsidRPr="00F85894" w:rsidRDefault="00143FC2" w:rsidP="00143FC2">
      <w:pPr>
        <w:ind w:left="210" w:hangingChars="100" w:hanging="210"/>
        <w:jc w:val="right"/>
      </w:pPr>
      <w:r w:rsidRPr="00F85894">
        <w:rPr>
          <w:rFonts w:hint="eastAsia"/>
        </w:rPr>
        <w:lastRenderedPageBreak/>
        <w:t>（別紙２）</w:t>
      </w:r>
    </w:p>
    <w:p w14:paraId="49B74E07" w14:textId="77777777" w:rsidR="007A20DD" w:rsidRPr="00F85894" w:rsidRDefault="007A20DD" w:rsidP="007A20DD">
      <w:pPr>
        <w:jc w:val="center"/>
        <w:rPr>
          <w:sz w:val="28"/>
        </w:rPr>
      </w:pPr>
      <w:r w:rsidRPr="00F85894">
        <w:rPr>
          <w:rFonts w:hint="eastAsia"/>
          <w:sz w:val="28"/>
        </w:rPr>
        <w:t>誓　　約　　書</w:t>
      </w:r>
    </w:p>
    <w:p w14:paraId="1839460D" w14:textId="77777777" w:rsidR="007A20DD" w:rsidRPr="00F85894" w:rsidRDefault="007A20DD" w:rsidP="007A20DD">
      <w:pPr>
        <w:ind w:leftChars="100" w:left="210" w:firstLineChars="500" w:firstLine="1050"/>
        <w:jc w:val="center"/>
      </w:pPr>
    </w:p>
    <w:p w14:paraId="68411C97" w14:textId="77777777" w:rsidR="007A20DD" w:rsidRPr="00F85894" w:rsidRDefault="007A20DD" w:rsidP="007A20DD">
      <w:pPr>
        <w:ind w:leftChars="100" w:left="210" w:firstLineChars="100" w:firstLine="210"/>
      </w:pPr>
      <w:r w:rsidRPr="00F85894">
        <w:rPr>
          <w:rFonts w:hint="eastAsia"/>
        </w:rPr>
        <w:t>当社（当法人）は，広島県立総合技術研究所との取引に当たり，次の事項を遵守することを誓約します。</w:t>
      </w:r>
    </w:p>
    <w:p w14:paraId="24F2ABB7" w14:textId="77777777" w:rsidR="007A20DD" w:rsidRPr="00F85894" w:rsidRDefault="007A20DD" w:rsidP="007A20DD"/>
    <w:p w14:paraId="0CB263AD" w14:textId="77777777" w:rsidR="007A20DD" w:rsidRPr="00F85894" w:rsidRDefault="007A20DD" w:rsidP="007A20DD">
      <w:pPr>
        <w:ind w:leftChars="100" w:left="210" w:firstLineChars="100" w:firstLine="210"/>
      </w:pPr>
      <w:r w:rsidRPr="00F85894">
        <w:rPr>
          <w:rFonts w:hint="eastAsia"/>
        </w:rPr>
        <w:t xml:space="preserve">　１　広島県会計規則等の関係法令・規則等を遵守すること</w:t>
      </w:r>
    </w:p>
    <w:p w14:paraId="32A68F4F" w14:textId="7B89A1C8" w:rsidR="007A20DD" w:rsidRPr="00F85894" w:rsidRDefault="007A20DD" w:rsidP="007A20DD">
      <w:pPr>
        <w:ind w:leftChars="300" w:left="1050" w:hangingChars="200" w:hanging="420"/>
      </w:pPr>
      <w:r w:rsidRPr="00F85894">
        <w:rPr>
          <w:rFonts w:hint="eastAsia"/>
        </w:rPr>
        <w:t>２　広島県立総合技術研究所の研究活動及び競争的</w:t>
      </w:r>
      <w:r w:rsidR="009400B7">
        <w:rPr>
          <w:rFonts w:hint="eastAsia"/>
        </w:rPr>
        <w:t>研究費</w:t>
      </w:r>
      <w:r w:rsidRPr="00F85894">
        <w:rPr>
          <w:rFonts w:hint="eastAsia"/>
        </w:rPr>
        <w:t>等の不正に関与しないこと</w:t>
      </w:r>
    </w:p>
    <w:p w14:paraId="3AD48AAA" w14:textId="77777777" w:rsidR="007A20DD" w:rsidRPr="00F85894" w:rsidRDefault="007A20DD" w:rsidP="007A20DD">
      <w:pPr>
        <w:ind w:leftChars="300" w:left="1050" w:hangingChars="200" w:hanging="420"/>
      </w:pPr>
      <w:r w:rsidRPr="00F85894">
        <w:rPr>
          <w:rFonts w:hint="eastAsia"/>
        </w:rPr>
        <w:t>３　広島県立総合技術研究所の内部監査，その他の調査において，取引帳簿の閲覧，提出等の要請に協力すること</w:t>
      </w:r>
    </w:p>
    <w:p w14:paraId="06D861BF" w14:textId="77777777" w:rsidR="007A20DD" w:rsidRPr="00F85894" w:rsidRDefault="007A20DD" w:rsidP="007A20DD">
      <w:pPr>
        <w:ind w:leftChars="300" w:left="1050" w:hangingChars="200" w:hanging="420"/>
      </w:pPr>
      <w:r w:rsidRPr="00F85894">
        <w:rPr>
          <w:rFonts w:hint="eastAsia"/>
        </w:rPr>
        <w:t>４　不正が認められた場合は，取引停止を含むいかなる処分を講じられても異議がないこと</w:t>
      </w:r>
    </w:p>
    <w:p w14:paraId="362A8287" w14:textId="77777777" w:rsidR="007A20DD" w:rsidRPr="00F85894" w:rsidRDefault="007A20DD" w:rsidP="007A20DD">
      <w:pPr>
        <w:ind w:leftChars="300" w:left="1050" w:hangingChars="200" w:hanging="420"/>
      </w:pPr>
      <w:r w:rsidRPr="00F85894">
        <w:rPr>
          <w:rFonts w:hint="eastAsia"/>
        </w:rPr>
        <w:t>５　広島県立総合技術研究所の研究者等から不正の依頼等があった場合は，通報（告発）の受付窓口に連絡すること。</w:t>
      </w:r>
    </w:p>
    <w:p w14:paraId="17DE39FB" w14:textId="77777777" w:rsidR="007A20DD" w:rsidRPr="00F85894" w:rsidRDefault="007A20DD" w:rsidP="007A20DD"/>
    <w:p w14:paraId="436309DB" w14:textId="77777777" w:rsidR="007A20DD" w:rsidRPr="00F85894" w:rsidRDefault="00F44013" w:rsidP="007A20DD">
      <w:pPr>
        <w:ind w:left="210" w:hangingChars="100" w:hanging="210"/>
      </w:pPr>
      <w:r w:rsidRPr="00F85894">
        <w:rPr>
          <w:rFonts w:hint="eastAsia"/>
        </w:rPr>
        <w:t xml:space="preserve">　令和</w:t>
      </w:r>
      <w:r w:rsidR="007A20DD" w:rsidRPr="00F85894">
        <w:rPr>
          <w:rFonts w:hint="eastAsia"/>
        </w:rPr>
        <w:t xml:space="preserve">　年　月　日</w:t>
      </w:r>
    </w:p>
    <w:p w14:paraId="497DEED3" w14:textId="77777777" w:rsidR="007A20DD" w:rsidRPr="00F85894" w:rsidRDefault="007A20DD" w:rsidP="007A20DD">
      <w:pPr>
        <w:ind w:left="210" w:hangingChars="100" w:hanging="210"/>
      </w:pPr>
    </w:p>
    <w:p w14:paraId="7F3FED70" w14:textId="77777777" w:rsidR="007A20DD" w:rsidRPr="00F85894" w:rsidRDefault="00F44013" w:rsidP="00F44013">
      <w:pPr>
        <w:ind w:leftChars="100" w:left="210" w:firstLineChars="600" w:firstLine="1260"/>
      </w:pPr>
      <w:r w:rsidRPr="00F85894">
        <w:rPr>
          <w:rFonts w:hint="eastAsia"/>
        </w:rPr>
        <w:t>センター</w:t>
      </w:r>
      <w:r w:rsidR="007A20DD" w:rsidRPr="00F85894">
        <w:rPr>
          <w:rFonts w:hint="eastAsia"/>
        </w:rPr>
        <w:t>長　様</w:t>
      </w:r>
    </w:p>
    <w:p w14:paraId="5284EB41" w14:textId="77777777" w:rsidR="007A20DD" w:rsidRPr="00F85894" w:rsidRDefault="007A20DD" w:rsidP="007A20DD">
      <w:pPr>
        <w:ind w:left="210" w:hangingChars="100" w:hanging="210"/>
      </w:pPr>
    </w:p>
    <w:p w14:paraId="50420955" w14:textId="77777777" w:rsidR="007A20DD" w:rsidRPr="00F85894" w:rsidRDefault="007A20DD" w:rsidP="007A20DD">
      <w:pPr>
        <w:ind w:left="210" w:hangingChars="100" w:hanging="210"/>
      </w:pPr>
      <w:r w:rsidRPr="00F85894">
        <w:rPr>
          <w:rFonts w:hint="eastAsia"/>
        </w:rPr>
        <w:t xml:space="preserve">　　　　　　　　　　　（住所）</w:t>
      </w:r>
    </w:p>
    <w:p w14:paraId="106CF13A" w14:textId="77777777" w:rsidR="007A20DD" w:rsidRPr="00F85894" w:rsidRDefault="007A20DD" w:rsidP="007A20DD">
      <w:pPr>
        <w:ind w:left="210" w:hangingChars="100" w:hanging="210"/>
      </w:pPr>
    </w:p>
    <w:p w14:paraId="3E6EEE66" w14:textId="77777777" w:rsidR="007A20DD" w:rsidRPr="00F85894" w:rsidRDefault="007A20DD" w:rsidP="007A20DD">
      <w:pPr>
        <w:ind w:left="210" w:hangingChars="100" w:hanging="210"/>
      </w:pPr>
    </w:p>
    <w:p w14:paraId="40BC9EF7" w14:textId="77777777" w:rsidR="007A20DD" w:rsidRPr="00F85894" w:rsidRDefault="007A20DD" w:rsidP="007A20DD">
      <w:pPr>
        <w:ind w:left="210" w:hangingChars="100" w:hanging="210"/>
      </w:pPr>
      <w:r w:rsidRPr="00F85894">
        <w:rPr>
          <w:rFonts w:hint="eastAsia"/>
        </w:rPr>
        <w:t xml:space="preserve">　　　　　　　　　　　（事業者名）</w:t>
      </w:r>
    </w:p>
    <w:p w14:paraId="1F2B3064" w14:textId="77777777" w:rsidR="007A20DD" w:rsidRPr="00F85894" w:rsidRDefault="007A20DD" w:rsidP="007A20DD">
      <w:pPr>
        <w:ind w:left="210" w:hangingChars="100" w:hanging="210"/>
      </w:pPr>
    </w:p>
    <w:p w14:paraId="56EC2AD1" w14:textId="77777777" w:rsidR="007A20DD" w:rsidRPr="00F85894" w:rsidRDefault="007A20DD" w:rsidP="007A20DD">
      <w:pPr>
        <w:ind w:left="210" w:hangingChars="100" w:hanging="210"/>
      </w:pPr>
    </w:p>
    <w:p w14:paraId="3D33807F" w14:textId="77777777" w:rsidR="00934FF8" w:rsidRPr="00F85894" w:rsidRDefault="007A20DD" w:rsidP="00F44013">
      <w:pPr>
        <w:ind w:leftChars="100" w:left="210" w:firstLineChars="1000" w:firstLine="2100"/>
      </w:pPr>
      <w:r w:rsidRPr="00F85894">
        <w:rPr>
          <w:rFonts w:hint="eastAsia"/>
        </w:rPr>
        <w:t>（代表者職・氏名）　　　　　　　　　　　　　　　　　㊞</w:t>
      </w:r>
    </w:p>
    <w:p w14:paraId="7BD5698A" w14:textId="77777777" w:rsidR="00F44013" w:rsidRPr="00F85894" w:rsidRDefault="00F44013" w:rsidP="00F44013"/>
    <w:p w14:paraId="453ED86E" w14:textId="77777777" w:rsidR="005B4FF9" w:rsidRPr="00F85894" w:rsidRDefault="005B4FF9" w:rsidP="00F44013"/>
    <w:p w14:paraId="1701D333" w14:textId="77777777" w:rsidR="00F44013" w:rsidRPr="00F85894" w:rsidRDefault="00F44013" w:rsidP="00C0360D">
      <w:pPr>
        <w:spacing w:line="0" w:lineRule="atLeast"/>
      </w:pPr>
      <w:r w:rsidRPr="00F85894">
        <w:rPr>
          <w:rFonts w:hint="eastAsia"/>
        </w:rPr>
        <w:t>※１：本様式は，</w:t>
      </w:r>
      <w:r w:rsidR="00D353D7" w:rsidRPr="00F85894">
        <w:rPr>
          <w:rFonts w:hint="eastAsia"/>
        </w:rPr>
        <w:t>取引を行う年度ごとに提出</w:t>
      </w:r>
      <w:r w:rsidR="00C0360D" w:rsidRPr="00F85894">
        <w:rPr>
          <w:rFonts w:hint="eastAsia"/>
        </w:rPr>
        <w:t>し，センターで集約</w:t>
      </w:r>
      <w:r w:rsidR="00D353D7" w:rsidRPr="00F85894">
        <w:rPr>
          <w:rFonts w:hint="eastAsia"/>
        </w:rPr>
        <w:t>する。</w:t>
      </w:r>
    </w:p>
    <w:p w14:paraId="3C0FF9D5" w14:textId="77777777" w:rsidR="00C0360D" w:rsidRPr="00F85894" w:rsidRDefault="00F44013" w:rsidP="00C0360D">
      <w:pPr>
        <w:spacing w:line="0" w:lineRule="atLeast"/>
      </w:pPr>
      <w:r w:rsidRPr="00F85894">
        <w:rPr>
          <w:rFonts w:hint="eastAsia"/>
        </w:rPr>
        <w:t>※２：</w:t>
      </w:r>
      <w:r w:rsidR="003028A4" w:rsidRPr="00F85894">
        <w:rPr>
          <w:rFonts w:hint="eastAsia"/>
        </w:rPr>
        <w:t>次の場合は，提出を免除する。</w:t>
      </w:r>
    </w:p>
    <w:p w14:paraId="4BF043F5" w14:textId="77777777" w:rsidR="00C0360D" w:rsidRPr="00F85894" w:rsidRDefault="00C0360D" w:rsidP="00C0360D">
      <w:pPr>
        <w:spacing w:line="0" w:lineRule="atLeast"/>
        <w:ind w:firstLineChars="200" w:firstLine="420"/>
      </w:pPr>
      <w:r w:rsidRPr="00F85894">
        <w:rPr>
          <w:rFonts w:hint="eastAsia"/>
        </w:rPr>
        <w:t>ア：</w:t>
      </w:r>
      <w:r w:rsidR="003028A4" w:rsidRPr="00F85894">
        <w:rPr>
          <w:rFonts w:hint="eastAsia"/>
        </w:rPr>
        <w:t>広島県における競争入札参加資格を有する者</w:t>
      </w:r>
    </w:p>
    <w:p w14:paraId="5B6BF734" w14:textId="77777777" w:rsidR="003028A4" w:rsidRPr="00F85894" w:rsidRDefault="003028A4" w:rsidP="00C0360D">
      <w:pPr>
        <w:spacing w:line="0" w:lineRule="atLeast"/>
        <w:ind w:firstLineChars="200" w:firstLine="420"/>
      </w:pPr>
      <w:r w:rsidRPr="00F85894">
        <w:rPr>
          <w:rFonts w:hint="eastAsia"/>
        </w:rPr>
        <w:t>イ：インターネットを活用した物品調達等における取引企業</w:t>
      </w:r>
    </w:p>
    <w:p w14:paraId="57F760A1" w14:textId="77777777" w:rsidR="003028A4" w:rsidRPr="00F85894" w:rsidRDefault="003028A4" w:rsidP="00C0360D">
      <w:pPr>
        <w:spacing w:line="0" w:lineRule="atLeast"/>
        <w:ind w:firstLineChars="200" w:firstLine="420"/>
      </w:pPr>
      <w:r w:rsidRPr="00F85894">
        <w:rPr>
          <w:rFonts w:hint="eastAsia"/>
        </w:rPr>
        <w:t>ウ：旅費システムにおける切符手配業者</w:t>
      </w:r>
    </w:p>
    <w:p w14:paraId="4842D90E" w14:textId="77777777" w:rsidR="003028A4" w:rsidRPr="00F85894" w:rsidRDefault="003028A4" w:rsidP="00C0360D">
      <w:pPr>
        <w:spacing w:line="0" w:lineRule="atLeast"/>
        <w:ind w:firstLineChars="200" w:firstLine="420"/>
      </w:pPr>
      <w:r w:rsidRPr="00F85894">
        <w:rPr>
          <w:rFonts w:hint="eastAsia"/>
        </w:rPr>
        <w:t>エ：国，地方公共団体，独立行政法人等の公的団体</w:t>
      </w:r>
    </w:p>
    <w:p w14:paraId="478DBC63" w14:textId="77777777" w:rsidR="003028A4" w:rsidRPr="00F85894" w:rsidRDefault="003028A4" w:rsidP="00C0360D">
      <w:pPr>
        <w:spacing w:line="0" w:lineRule="atLeast"/>
        <w:ind w:firstLineChars="200" w:firstLine="420"/>
      </w:pPr>
      <w:r w:rsidRPr="00F85894">
        <w:rPr>
          <w:rFonts w:hint="eastAsia"/>
        </w:rPr>
        <w:t>オ：学校法人，公益財団法人，一般財団法人，非営利団体等</w:t>
      </w:r>
    </w:p>
    <w:p w14:paraId="2380F4B0" w14:textId="77777777" w:rsidR="003028A4" w:rsidRPr="00F85894" w:rsidRDefault="003028A4" w:rsidP="00C0360D">
      <w:pPr>
        <w:spacing w:line="0" w:lineRule="atLeast"/>
        <w:ind w:firstLineChars="200" w:firstLine="420"/>
      </w:pPr>
      <w:r w:rsidRPr="00F85894">
        <w:rPr>
          <w:rFonts w:hint="eastAsia"/>
        </w:rPr>
        <w:t>カ：電気，ガス，水道，電話，郵便事業者等</w:t>
      </w:r>
    </w:p>
    <w:p w14:paraId="2537CBCC" w14:textId="77777777" w:rsidR="00F44013" w:rsidRPr="00F85894" w:rsidRDefault="003028A4" w:rsidP="00C0360D">
      <w:pPr>
        <w:spacing w:line="0" w:lineRule="atLeast"/>
        <w:ind w:firstLineChars="200" w:firstLine="420"/>
      </w:pPr>
      <w:r w:rsidRPr="00F85894">
        <w:rPr>
          <w:rFonts w:hint="eastAsia"/>
        </w:rPr>
        <w:t>キ：その他，本対象になじまない業種</w:t>
      </w:r>
    </w:p>
    <w:p w14:paraId="68920C00" w14:textId="77777777" w:rsidR="005B4FF9" w:rsidRPr="00F85894" w:rsidRDefault="00D353D7" w:rsidP="00C0360D">
      <w:pPr>
        <w:spacing w:line="0" w:lineRule="atLeast"/>
        <w:ind w:left="630" w:hangingChars="300" w:hanging="630"/>
      </w:pPr>
      <w:r w:rsidRPr="00F85894">
        <w:rPr>
          <w:rFonts w:hint="eastAsia"/>
        </w:rPr>
        <w:t>※３：住所，事業者名，代表者職・氏名のいず</w:t>
      </w:r>
      <w:r w:rsidR="005B4FF9" w:rsidRPr="00F85894">
        <w:rPr>
          <w:rFonts w:hint="eastAsia"/>
        </w:rPr>
        <w:t>れかが変更となった場合は，すみやかに</w:t>
      </w:r>
      <w:r w:rsidRPr="00F85894">
        <w:rPr>
          <w:rFonts w:hint="eastAsia"/>
        </w:rPr>
        <w:t>再</w:t>
      </w:r>
      <w:r w:rsidR="005B4FF9" w:rsidRPr="00F85894">
        <w:rPr>
          <w:rFonts w:hint="eastAsia"/>
        </w:rPr>
        <w:t>提出する。</w:t>
      </w:r>
    </w:p>
    <w:p w14:paraId="45E3535C" w14:textId="77777777" w:rsidR="008D6539" w:rsidRPr="00F85894" w:rsidRDefault="008D6539" w:rsidP="00C0360D">
      <w:pPr>
        <w:spacing w:line="0" w:lineRule="atLeast"/>
        <w:ind w:left="630" w:hangingChars="300" w:hanging="630"/>
      </w:pPr>
      <w:r w:rsidRPr="00F85894">
        <w:rPr>
          <w:rFonts w:hint="eastAsia"/>
        </w:rPr>
        <w:t>※４：発注機関によっては，宛先等をセンター長以外に変更しても構わない。</w:t>
      </w:r>
    </w:p>
    <w:p w14:paraId="3D01D7D3" w14:textId="77777777" w:rsidR="005B4FF9" w:rsidRPr="00F85894" w:rsidRDefault="008D6539" w:rsidP="00825CE2">
      <w:pPr>
        <w:spacing w:line="0" w:lineRule="atLeast"/>
        <w:ind w:left="630" w:hangingChars="300" w:hanging="630"/>
      </w:pPr>
      <w:r w:rsidRPr="00F85894">
        <w:rPr>
          <w:rFonts w:hint="eastAsia"/>
        </w:rPr>
        <w:t xml:space="preserve">　　（</w:t>
      </w:r>
      <w:r w:rsidR="00865B3A" w:rsidRPr="00F85894">
        <w:rPr>
          <w:rFonts w:hint="eastAsia"/>
        </w:rPr>
        <w:t>誓約書は</w:t>
      </w:r>
      <w:r w:rsidRPr="00F85894">
        <w:rPr>
          <w:rFonts w:hint="eastAsia"/>
        </w:rPr>
        <w:t>センターで集約・保管しておくこと）</w:t>
      </w:r>
    </w:p>
    <w:p w14:paraId="0AC1869B" w14:textId="77777777" w:rsidR="00C44190" w:rsidRPr="00F85894" w:rsidRDefault="00C44190" w:rsidP="00C44190">
      <w:pPr>
        <w:jc w:val="right"/>
      </w:pPr>
      <w:r w:rsidRPr="00F85894">
        <w:rPr>
          <w:rFonts w:hint="eastAsia"/>
        </w:rPr>
        <w:lastRenderedPageBreak/>
        <w:t>（別紙３）</w:t>
      </w:r>
    </w:p>
    <w:tbl>
      <w:tblPr>
        <w:tblW w:w="964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3827"/>
        <w:gridCol w:w="3827"/>
      </w:tblGrid>
      <w:tr w:rsidR="00F85894" w:rsidRPr="00F85894" w14:paraId="5564B719" w14:textId="77777777" w:rsidTr="0005459A">
        <w:trPr>
          <w:trHeight w:val="96"/>
        </w:trPr>
        <w:tc>
          <w:tcPr>
            <w:tcW w:w="1986" w:type="dxa"/>
          </w:tcPr>
          <w:p w14:paraId="3D55B0B1" w14:textId="77777777" w:rsidR="008015CE" w:rsidRPr="00F85894" w:rsidRDefault="008015CE" w:rsidP="00934FF8">
            <w:pPr>
              <w:spacing w:line="0" w:lineRule="atLeast"/>
            </w:pPr>
            <w:r w:rsidRPr="00F85894">
              <w:rPr>
                <w:rFonts w:hint="eastAsia"/>
              </w:rPr>
              <w:t>区分</w:t>
            </w:r>
          </w:p>
        </w:tc>
        <w:tc>
          <w:tcPr>
            <w:tcW w:w="3827" w:type="dxa"/>
          </w:tcPr>
          <w:p w14:paraId="1B683B9D" w14:textId="77777777" w:rsidR="008015CE" w:rsidRPr="00F85894" w:rsidRDefault="008015CE" w:rsidP="00934FF8">
            <w:pPr>
              <w:spacing w:line="0" w:lineRule="atLeast"/>
            </w:pPr>
            <w:r w:rsidRPr="00F85894">
              <w:rPr>
                <w:rFonts w:hint="eastAsia"/>
              </w:rPr>
              <w:t>不正を発生させると考えられる要因</w:t>
            </w:r>
          </w:p>
        </w:tc>
        <w:tc>
          <w:tcPr>
            <w:tcW w:w="3827" w:type="dxa"/>
          </w:tcPr>
          <w:p w14:paraId="08C3AA30" w14:textId="77777777" w:rsidR="008015CE" w:rsidRPr="00F85894" w:rsidRDefault="008015CE" w:rsidP="00934FF8">
            <w:pPr>
              <w:spacing w:line="0" w:lineRule="atLeast"/>
            </w:pPr>
            <w:r w:rsidRPr="00F85894">
              <w:rPr>
                <w:rFonts w:hint="eastAsia"/>
              </w:rPr>
              <w:t>不正防止に向けた具体的な対応</w:t>
            </w:r>
          </w:p>
        </w:tc>
      </w:tr>
      <w:tr w:rsidR="00F85894" w:rsidRPr="00F85894" w14:paraId="309E7171" w14:textId="77777777" w:rsidTr="0005459A">
        <w:trPr>
          <w:trHeight w:val="96"/>
        </w:trPr>
        <w:tc>
          <w:tcPr>
            <w:tcW w:w="1986" w:type="dxa"/>
          </w:tcPr>
          <w:p w14:paraId="13D114C0" w14:textId="77777777" w:rsidR="008015CE" w:rsidRPr="00F85894" w:rsidRDefault="008015CE" w:rsidP="00934FF8">
            <w:pPr>
              <w:spacing w:line="0" w:lineRule="atLeast"/>
            </w:pPr>
            <w:r w:rsidRPr="00F85894">
              <w:rPr>
                <w:rFonts w:hint="eastAsia"/>
              </w:rPr>
              <w:t>責任体制</w:t>
            </w:r>
          </w:p>
        </w:tc>
        <w:tc>
          <w:tcPr>
            <w:tcW w:w="3827" w:type="dxa"/>
          </w:tcPr>
          <w:p w14:paraId="5715B4FC" w14:textId="77777777" w:rsidR="008015CE" w:rsidRPr="00F85894" w:rsidRDefault="008015CE" w:rsidP="00934FF8">
            <w:pPr>
              <w:spacing w:line="0" w:lineRule="atLeast"/>
            </w:pPr>
            <w:r w:rsidRPr="00F85894">
              <w:rPr>
                <w:rFonts w:hint="eastAsia"/>
              </w:rPr>
              <w:t>決裁手続きが複雑で責任の所在が不明瞭</w:t>
            </w:r>
          </w:p>
        </w:tc>
        <w:tc>
          <w:tcPr>
            <w:tcW w:w="3827" w:type="dxa"/>
          </w:tcPr>
          <w:p w14:paraId="76CCF9F7" w14:textId="77777777" w:rsidR="008015CE" w:rsidRPr="00F85894" w:rsidRDefault="008015CE" w:rsidP="00934FF8">
            <w:pPr>
              <w:spacing w:line="0" w:lineRule="atLeast"/>
            </w:pPr>
            <w:r w:rsidRPr="00F85894">
              <w:rPr>
                <w:rFonts w:hint="eastAsia"/>
              </w:rPr>
              <w:t>広島県</w:t>
            </w:r>
            <w:r w:rsidR="00350E9F" w:rsidRPr="00F85894">
              <w:rPr>
                <w:rFonts w:hint="eastAsia"/>
              </w:rPr>
              <w:t>立総合技術研究所</w:t>
            </w:r>
            <w:r w:rsidRPr="00F85894">
              <w:rPr>
                <w:rFonts w:hint="eastAsia"/>
              </w:rPr>
              <w:t>決裁規程等に基づき，決裁ルートを運用する。</w:t>
            </w:r>
          </w:p>
        </w:tc>
      </w:tr>
      <w:tr w:rsidR="00F85894" w:rsidRPr="00F85894" w14:paraId="7E35621E" w14:textId="77777777" w:rsidTr="0005459A">
        <w:trPr>
          <w:trHeight w:val="260"/>
        </w:trPr>
        <w:tc>
          <w:tcPr>
            <w:tcW w:w="1986" w:type="dxa"/>
            <w:vMerge w:val="restart"/>
          </w:tcPr>
          <w:p w14:paraId="4972C781" w14:textId="77777777" w:rsidR="00C0360D" w:rsidRPr="00F85894" w:rsidRDefault="00C0360D" w:rsidP="00934FF8">
            <w:pPr>
              <w:spacing w:line="0" w:lineRule="atLeast"/>
            </w:pPr>
            <w:r w:rsidRPr="00F85894">
              <w:rPr>
                <w:rFonts w:hint="eastAsia"/>
              </w:rPr>
              <w:t>ルールの統一化</w:t>
            </w:r>
          </w:p>
        </w:tc>
        <w:tc>
          <w:tcPr>
            <w:tcW w:w="3827" w:type="dxa"/>
          </w:tcPr>
          <w:p w14:paraId="535C7654" w14:textId="77777777" w:rsidR="00C0360D" w:rsidRPr="00F85894" w:rsidRDefault="00C0360D" w:rsidP="00934FF8">
            <w:pPr>
              <w:spacing w:line="0" w:lineRule="atLeast"/>
            </w:pPr>
            <w:r w:rsidRPr="00F85894">
              <w:rPr>
                <w:rFonts w:hint="eastAsia"/>
              </w:rPr>
              <w:t>発注等のルールと実態の乖離</w:t>
            </w:r>
          </w:p>
        </w:tc>
        <w:tc>
          <w:tcPr>
            <w:tcW w:w="3827" w:type="dxa"/>
            <w:vMerge w:val="restart"/>
          </w:tcPr>
          <w:p w14:paraId="1D3465E2" w14:textId="77777777" w:rsidR="00C0360D" w:rsidRPr="00F85894" w:rsidRDefault="00C0360D" w:rsidP="00C0360D">
            <w:pPr>
              <w:spacing w:line="0" w:lineRule="atLeast"/>
            </w:pPr>
            <w:r w:rsidRPr="00F85894">
              <w:rPr>
                <w:rFonts w:hint="eastAsia"/>
              </w:rPr>
              <w:t>研究実施者と発注担当者（物品等管理部門）を分離するなど，チェック体制を有効に機能させる。また，発注担当者と検査，検収者を分ける</w:t>
            </w:r>
          </w:p>
        </w:tc>
      </w:tr>
      <w:tr w:rsidR="00F85894" w:rsidRPr="00F85894" w14:paraId="68E1CDC3" w14:textId="77777777" w:rsidTr="0005459A">
        <w:trPr>
          <w:trHeight w:val="280"/>
        </w:trPr>
        <w:tc>
          <w:tcPr>
            <w:tcW w:w="1986" w:type="dxa"/>
            <w:vMerge/>
          </w:tcPr>
          <w:p w14:paraId="610222FD" w14:textId="77777777" w:rsidR="00C0360D" w:rsidRPr="00F85894" w:rsidRDefault="00C0360D" w:rsidP="00934FF8">
            <w:pPr>
              <w:spacing w:line="0" w:lineRule="atLeast"/>
            </w:pPr>
          </w:p>
        </w:tc>
        <w:tc>
          <w:tcPr>
            <w:tcW w:w="3827" w:type="dxa"/>
          </w:tcPr>
          <w:p w14:paraId="2A053B1F" w14:textId="77777777" w:rsidR="00C0360D" w:rsidRPr="00F85894" w:rsidRDefault="00C0360D" w:rsidP="00934FF8">
            <w:pPr>
              <w:spacing w:line="0" w:lineRule="atLeast"/>
            </w:pPr>
            <w:r w:rsidRPr="00F85894">
              <w:rPr>
                <w:rFonts w:hint="eastAsia"/>
              </w:rPr>
              <w:t>業者に対する未払い問題の発生</w:t>
            </w:r>
          </w:p>
        </w:tc>
        <w:tc>
          <w:tcPr>
            <w:tcW w:w="3827" w:type="dxa"/>
            <w:vMerge/>
          </w:tcPr>
          <w:p w14:paraId="25B9EDBA" w14:textId="77777777" w:rsidR="00C0360D" w:rsidRPr="00F85894" w:rsidRDefault="00C0360D" w:rsidP="00934FF8">
            <w:pPr>
              <w:spacing w:line="0" w:lineRule="atLeast"/>
            </w:pPr>
          </w:p>
        </w:tc>
      </w:tr>
      <w:tr w:rsidR="00F85894" w:rsidRPr="00F85894" w14:paraId="5B052C8B" w14:textId="77777777" w:rsidTr="0005459A">
        <w:trPr>
          <w:trHeight w:val="537"/>
        </w:trPr>
        <w:tc>
          <w:tcPr>
            <w:tcW w:w="1986" w:type="dxa"/>
            <w:vMerge/>
          </w:tcPr>
          <w:p w14:paraId="399F9FD6" w14:textId="77777777" w:rsidR="00C0360D" w:rsidRPr="00F85894" w:rsidRDefault="00C0360D" w:rsidP="00934FF8">
            <w:pPr>
              <w:spacing w:line="0" w:lineRule="atLeast"/>
            </w:pPr>
          </w:p>
        </w:tc>
        <w:tc>
          <w:tcPr>
            <w:tcW w:w="3827" w:type="dxa"/>
          </w:tcPr>
          <w:p w14:paraId="3BC3A118" w14:textId="77777777" w:rsidR="00C0360D" w:rsidRPr="00F85894" w:rsidRDefault="00C0360D" w:rsidP="00934FF8">
            <w:pPr>
              <w:spacing w:line="0" w:lineRule="atLeast"/>
            </w:pPr>
            <w:r w:rsidRPr="00F85894">
              <w:rPr>
                <w:rFonts w:hint="eastAsia"/>
              </w:rPr>
              <w:t>取引に対するチェックが不十分</w:t>
            </w:r>
          </w:p>
        </w:tc>
        <w:tc>
          <w:tcPr>
            <w:tcW w:w="3827" w:type="dxa"/>
            <w:vMerge/>
          </w:tcPr>
          <w:p w14:paraId="5B07F314" w14:textId="77777777" w:rsidR="00C0360D" w:rsidRPr="00F85894" w:rsidRDefault="00C0360D" w:rsidP="00934FF8">
            <w:pPr>
              <w:spacing w:line="0" w:lineRule="atLeast"/>
            </w:pPr>
          </w:p>
        </w:tc>
      </w:tr>
      <w:tr w:rsidR="00F85894" w:rsidRPr="00F85894" w14:paraId="561BF128" w14:textId="77777777" w:rsidTr="0005459A">
        <w:trPr>
          <w:trHeight w:val="1119"/>
        </w:trPr>
        <w:tc>
          <w:tcPr>
            <w:tcW w:w="1986" w:type="dxa"/>
            <w:vMerge w:val="restart"/>
          </w:tcPr>
          <w:p w14:paraId="708AA802" w14:textId="77777777" w:rsidR="00934FF8" w:rsidRPr="00F85894" w:rsidRDefault="00934FF8" w:rsidP="00934FF8">
            <w:pPr>
              <w:spacing w:line="0" w:lineRule="atLeast"/>
            </w:pPr>
            <w:r w:rsidRPr="00F85894">
              <w:rPr>
                <w:rFonts w:hint="eastAsia"/>
              </w:rPr>
              <w:t>適正な執行環境</w:t>
            </w:r>
          </w:p>
        </w:tc>
        <w:tc>
          <w:tcPr>
            <w:tcW w:w="3827" w:type="dxa"/>
          </w:tcPr>
          <w:p w14:paraId="125C5AED" w14:textId="77777777" w:rsidR="00934FF8" w:rsidRPr="00F85894" w:rsidRDefault="00934FF8" w:rsidP="00934FF8">
            <w:pPr>
              <w:spacing w:line="0" w:lineRule="atLeast"/>
            </w:pPr>
            <w:r w:rsidRPr="00F85894">
              <w:rPr>
                <w:rFonts w:hint="eastAsia"/>
              </w:rPr>
              <w:t>予算執行の特定の時期への偏り</w:t>
            </w:r>
          </w:p>
        </w:tc>
        <w:tc>
          <w:tcPr>
            <w:tcW w:w="3827" w:type="dxa"/>
          </w:tcPr>
          <w:p w14:paraId="7C18F5DC" w14:textId="77777777" w:rsidR="00934FF8" w:rsidRPr="00F85894" w:rsidRDefault="00934FF8" w:rsidP="00934FF8">
            <w:pPr>
              <w:spacing w:line="0" w:lineRule="atLeast"/>
            </w:pPr>
            <w:r w:rsidRPr="00F85894">
              <w:rPr>
                <w:rFonts w:hint="eastAsia"/>
              </w:rPr>
              <w:t>センター内における研究進捗状況の把握・管理</w:t>
            </w:r>
          </w:p>
          <w:p w14:paraId="649CE8DD" w14:textId="77777777" w:rsidR="00934FF8" w:rsidRPr="00F85894" w:rsidRDefault="00934FF8" w:rsidP="00934FF8">
            <w:pPr>
              <w:spacing w:line="0" w:lineRule="atLeast"/>
            </w:pPr>
            <w:r w:rsidRPr="00F85894">
              <w:rPr>
                <w:rFonts w:hint="eastAsia"/>
              </w:rPr>
              <w:t>総研企画部における研究進捗ヒアリングの実施</w:t>
            </w:r>
          </w:p>
          <w:p w14:paraId="729E4E82" w14:textId="77777777" w:rsidR="00934FF8" w:rsidRPr="00F85894" w:rsidRDefault="00934FF8" w:rsidP="00934FF8">
            <w:pPr>
              <w:spacing w:line="0" w:lineRule="atLeast"/>
            </w:pPr>
            <w:r w:rsidRPr="00F85894">
              <w:rPr>
                <w:rFonts w:hint="eastAsia"/>
              </w:rPr>
              <w:t>年度末等における支払時期繁忙期に対する全庁的通知の周知</w:t>
            </w:r>
          </w:p>
          <w:p w14:paraId="3E36C477" w14:textId="77777777" w:rsidR="00934FF8" w:rsidRPr="00F85894" w:rsidRDefault="00934FF8" w:rsidP="00934FF8">
            <w:pPr>
              <w:spacing w:line="0" w:lineRule="atLeast"/>
            </w:pPr>
            <w:r w:rsidRPr="00F85894">
              <w:rPr>
                <w:rFonts w:hint="eastAsia"/>
              </w:rPr>
              <w:t>機器導入に係る早期入札執行の周知</w:t>
            </w:r>
          </w:p>
        </w:tc>
      </w:tr>
      <w:tr w:rsidR="00F85894" w:rsidRPr="00F85894" w14:paraId="23438715" w14:textId="77777777" w:rsidTr="0005459A">
        <w:trPr>
          <w:trHeight w:val="1119"/>
        </w:trPr>
        <w:tc>
          <w:tcPr>
            <w:tcW w:w="1986" w:type="dxa"/>
            <w:vMerge/>
          </w:tcPr>
          <w:p w14:paraId="08FF62E7" w14:textId="77777777" w:rsidR="00934FF8" w:rsidRPr="00F85894" w:rsidRDefault="00934FF8" w:rsidP="00934FF8">
            <w:pPr>
              <w:spacing w:line="0" w:lineRule="atLeast"/>
            </w:pPr>
          </w:p>
        </w:tc>
        <w:tc>
          <w:tcPr>
            <w:tcW w:w="3827" w:type="dxa"/>
          </w:tcPr>
          <w:p w14:paraId="4881E373" w14:textId="77777777" w:rsidR="00934FF8" w:rsidRPr="00F85894" w:rsidRDefault="00934FF8" w:rsidP="00934FF8">
            <w:pPr>
              <w:spacing w:line="0" w:lineRule="atLeast"/>
            </w:pPr>
            <w:r w:rsidRPr="00F85894">
              <w:rPr>
                <w:rFonts w:hint="eastAsia"/>
              </w:rPr>
              <w:t>同一の研究者等において，同一業者，同一品目の多頻度取引</w:t>
            </w:r>
          </w:p>
        </w:tc>
        <w:tc>
          <w:tcPr>
            <w:tcW w:w="3827" w:type="dxa"/>
            <w:vMerge w:val="restart"/>
          </w:tcPr>
          <w:p w14:paraId="39FFA113" w14:textId="77777777" w:rsidR="00934FF8" w:rsidRPr="00F85894" w:rsidRDefault="00C0360D" w:rsidP="00934FF8">
            <w:pPr>
              <w:spacing w:line="0" w:lineRule="atLeast"/>
            </w:pPr>
            <w:r w:rsidRPr="00F85894">
              <w:rPr>
                <w:rFonts w:hint="eastAsia"/>
              </w:rPr>
              <w:t>研</w:t>
            </w:r>
            <w:r w:rsidR="00934FF8" w:rsidRPr="00F85894">
              <w:rPr>
                <w:rFonts w:hint="eastAsia"/>
              </w:rPr>
              <w:t>究実施者と発注担当者（物品等管理部門）を分離するなど，チェック体制を有効に機能させる。</w:t>
            </w:r>
          </w:p>
          <w:p w14:paraId="1ED317C4" w14:textId="77777777" w:rsidR="00934FF8" w:rsidRPr="00F85894" w:rsidRDefault="00934FF8" w:rsidP="00934FF8">
            <w:pPr>
              <w:spacing w:line="0" w:lineRule="atLeast"/>
            </w:pPr>
            <w:r w:rsidRPr="00F85894">
              <w:rPr>
                <w:rFonts w:hint="eastAsia"/>
              </w:rPr>
              <w:t>また，発注担当者と検査，検収者を分ける（再掲）</w:t>
            </w:r>
          </w:p>
        </w:tc>
      </w:tr>
      <w:tr w:rsidR="00F85894" w:rsidRPr="00F85894" w14:paraId="2F3F0DD8" w14:textId="77777777" w:rsidTr="0005459A">
        <w:trPr>
          <w:trHeight w:val="1119"/>
        </w:trPr>
        <w:tc>
          <w:tcPr>
            <w:tcW w:w="1986" w:type="dxa"/>
            <w:vMerge/>
          </w:tcPr>
          <w:p w14:paraId="70A1F20A" w14:textId="77777777" w:rsidR="00934FF8" w:rsidRPr="00F85894" w:rsidRDefault="00934FF8" w:rsidP="00934FF8">
            <w:pPr>
              <w:spacing w:line="0" w:lineRule="atLeast"/>
            </w:pPr>
          </w:p>
        </w:tc>
        <w:tc>
          <w:tcPr>
            <w:tcW w:w="3827" w:type="dxa"/>
          </w:tcPr>
          <w:p w14:paraId="0FCF596E" w14:textId="77777777" w:rsidR="00934FF8" w:rsidRPr="00F85894" w:rsidRDefault="00934FF8" w:rsidP="00934FF8">
            <w:pPr>
              <w:spacing w:line="0" w:lineRule="atLeast"/>
            </w:pPr>
            <w:r w:rsidRPr="00F85894">
              <w:rPr>
                <w:rFonts w:hint="eastAsia"/>
              </w:rPr>
              <w:t>特定の研究内容でしか取引のない業者や，新規に開始した業者への発注の偏り</w:t>
            </w:r>
          </w:p>
        </w:tc>
        <w:tc>
          <w:tcPr>
            <w:tcW w:w="3827" w:type="dxa"/>
            <w:vMerge/>
          </w:tcPr>
          <w:p w14:paraId="20A684BD" w14:textId="77777777" w:rsidR="00934FF8" w:rsidRPr="00F85894" w:rsidRDefault="00934FF8" w:rsidP="00934FF8">
            <w:pPr>
              <w:spacing w:line="0" w:lineRule="atLeast"/>
            </w:pPr>
          </w:p>
        </w:tc>
      </w:tr>
      <w:tr w:rsidR="00F85894" w:rsidRPr="00F85894" w14:paraId="767FDC51" w14:textId="77777777" w:rsidTr="0005459A">
        <w:trPr>
          <w:trHeight w:val="1119"/>
        </w:trPr>
        <w:tc>
          <w:tcPr>
            <w:tcW w:w="1986" w:type="dxa"/>
            <w:vMerge/>
          </w:tcPr>
          <w:p w14:paraId="2102E060" w14:textId="77777777" w:rsidR="00934FF8" w:rsidRPr="00F85894" w:rsidRDefault="00934FF8" w:rsidP="00934FF8">
            <w:pPr>
              <w:spacing w:line="0" w:lineRule="atLeast"/>
            </w:pPr>
          </w:p>
        </w:tc>
        <w:tc>
          <w:tcPr>
            <w:tcW w:w="3827" w:type="dxa"/>
          </w:tcPr>
          <w:p w14:paraId="0666929A" w14:textId="77777777" w:rsidR="00934FF8" w:rsidRPr="00F85894" w:rsidRDefault="00934FF8" w:rsidP="00934FF8">
            <w:pPr>
              <w:spacing w:line="0" w:lineRule="atLeast"/>
            </w:pPr>
            <w:r w:rsidRPr="00F85894">
              <w:rPr>
                <w:rFonts w:hint="eastAsia"/>
              </w:rPr>
              <w:t>データベース，プログラム，デジタルコンテンツ作成，機器の保守点検など，特殊な契約に対する検収が不十分</w:t>
            </w:r>
          </w:p>
        </w:tc>
        <w:tc>
          <w:tcPr>
            <w:tcW w:w="3827" w:type="dxa"/>
          </w:tcPr>
          <w:p w14:paraId="2812DB9D" w14:textId="77777777" w:rsidR="00934FF8" w:rsidRPr="00F85894" w:rsidRDefault="00934FF8" w:rsidP="00934FF8">
            <w:pPr>
              <w:spacing w:line="0" w:lineRule="atLeast"/>
            </w:pPr>
            <w:r w:rsidRPr="00F85894">
              <w:rPr>
                <w:rFonts w:hint="eastAsia"/>
              </w:rPr>
              <w:t>詳細な仕様書等に基づいて確認検収を実施</w:t>
            </w:r>
          </w:p>
        </w:tc>
      </w:tr>
      <w:tr w:rsidR="00F85894" w:rsidRPr="00F85894" w14:paraId="70951B27" w14:textId="77777777" w:rsidTr="0005459A">
        <w:trPr>
          <w:trHeight w:val="96"/>
        </w:trPr>
        <w:tc>
          <w:tcPr>
            <w:tcW w:w="1986" w:type="dxa"/>
            <w:vMerge/>
          </w:tcPr>
          <w:p w14:paraId="2233F7CE" w14:textId="77777777" w:rsidR="00934FF8" w:rsidRPr="00F85894" w:rsidRDefault="00934FF8" w:rsidP="00934FF8">
            <w:pPr>
              <w:spacing w:line="0" w:lineRule="atLeast"/>
            </w:pPr>
          </w:p>
        </w:tc>
        <w:tc>
          <w:tcPr>
            <w:tcW w:w="3827" w:type="dxa"/>
          </w:tcPr>
          <w:p w14:paraId="3EB64E5C" w14:textId="77777777" w:rsidR="00934FF8" w:rsidRPr="00F85894" w:rsidRDefault="00934FF8" w:rsidP="00934FF8">
            <w:pPr>
              <w:spacing w:line="0" w:lineRule="atLeast"/>
            </w:pPr>
            <w:r w:rsidRPr="00F85894">
              <w:rPr>
                <w:rFonts w:hint="eastAsia"/>
              </w:rPr>
              <w:t>検収業務やモニタリング等の形骸化（現物確認等の不徹底）</w:t>
            </w:r>
          </w:p>
        </w:tc>
        <w:tc>
          <w:tcPr>
            <w:tcW w:w="3827" w:type="dxa"/>
          </w:tcPr>
          <w:p w14:paraId="72E905EC" w14:textId="77777777" w:rsidR="00934FF8" w:rsidRPr="00F85894" w:rsidRDefault="00934FF8" w:rsidP="00934FF8">
            <w:pPr>
              <w:spacing w:line="0" w:lineRule="atLeast"/>
            </w:pPr>
            <w:r w:rsidRPr="00F85894">
              <w:rPr>
                <w:rFonts w:hint="eastAsia"/>
              </w:rPr>
              <w:t>内部監査等のセンター所属職員以外による執行のチェック機能を維持する</w:t>
            </w:r>
          </w:p>
        </w:tc>
      </w:tr>
      <w:tr w:rsidR="00F85894" w:rsidRPr="00F85894" w14:paraId="01B6D151" w14:textId="77777777" w:rsidTr="0005459A">
        <w:trPr>
          <w:trHeight w:val="96"/>
        </w:trPr>
        <w:tc>
          <w:tcPr>
            <w:tcW w:w="1986" w:type="dxa"/>
            <w:vMerge/>
          </w:tcPr>
          <w:p w14:paraId="233FA114" w14:textId="77777777" w:rsidR="00934FF8" w:rsidRPr="00F85894" w:rsidRDefault="00934FF8" w:rsidP="00934FF8">
            <w:pPr>
              <w:spacing w:line="0" w:lineRule="atLeast"/>
            </w:pPr>
          </w:p>
        </w:tc>
        <w:tc>
          <w:tcPr>
            <w:tcW w:w="3827" w:type="dxa"/>
          </w:tcPr>
          <w:p w14:paraId="5B13441F" w14:textId="77777777" w:rsidR="00934FF8" w:rsidRPr="00F85894" w:rsidRDefault="00934FF8" w:rsidP="00934FF8">
            <w:pPr>
              <w:spacing w:line="0" w:lineRule="atLeast"/>
            </w:pPr>
            <w:r w:rsidRPr="00F85894">
              <w:rPr>
                <w:rFonts w:hint="eastAsia"/>
              </w:rPr>
              <w:t>業者による納品物品の持ち帰りや納品検収餌に納品物品の反復使用</w:t>
            </w:r>
          </w:p>
        </w:tc>
        <w:tc>
          <w:tcPr>
            <w:tcW w:w="3827" w:type="dxa"/>
          </w:tcPr>
          <w:p w14:paraId="0D293A86" w14:textId="77777777" w:rsidR="00934FF8" w:rsidRPr="00F85894" w:rsidRDefault="00631221" w:rsidP="00934FF8">
            <w:pPr>
              <w:spacing w:line="0" w:lineRule="atLeast"/>
            </w:pPr>
            <w:r w:rsidRPr="00F85894">
              <w:rPr>
                <w:rFonts w:hint="eastAsia"/>
              </w:rPr>
              <w:t>発注担当者と検査，検収者を分ける（再掲）</w:t>
            </w:r>
          </w:p>
        </w:tc>
      </w:tr>
      <w:tr w:rsidR="00F85894" w:rsidRPr="00F85894" w14:paraId="26B1B41D" w14:textId="77777777" w:rsidTr="0005459A">
        <w:trPr>
          <w:trHeight w:val="96"/>
        </w:trPr>
        <w:tc>
          <w:tcPr>
            <w:tcW w:w="1986" w:type="dxa"/>
            <w:vMerge/>
          </w:tcPr>
          <w:p w14:paraId="5D88D176" w14:textId="77777777" w:rsidR="00934FF8" w:rsidRPr="00F85894" w:rsidRDefault="00934FF8" w:rsidP="00934FF8">
            <w:pPr>
              <w:spacing w:line="0" w:lineRule="atLeast"/>
            </w:pPr>
          </w:p>
        </w:tc>
        <w:tc>
          <w:tcPr>
            <w:tcW w:w="3827" w:type="dxa"/>
          </w:tcPr>
          <w:p w14:paraId="64D88F2F" w14:textId="77777777" w:rsidR="00934FF8" w:rsidRPr="00F85894" w:rsidRDefault="00934FF8" w:rsidP="00934FF8">
            <w:pPr>
              <w:spacing w:line="0" w:lineRule="atLeast"/>
            </w:pPr>
            <w:r w:rsidRPr="00F85894">
              <w:rPr>
                <w:rFonts w:hint="eastAsia"/>
              </w:rPr>
              <w:t>非常勤雇用者の勤務状況確認等の雇用管理が研究部任せ</w:t>
            </w:r>
          </w:p>
        </w:tc>
        <w:tc>
          <w:tcPr>
            <w:tcW w:w="3827" w:type="dxa"/>
          </w:tcPr>
          <w:p w14:paraId="62F9DD75" w14:textId="77777777" w:rsidR="00934FF8" w:rsidRPr="00F85894" w:rsidRDefault="00934FF8" w:rsidP="00934FF8">
            <w:pPr>
              <w:spacing w:line="0" w:lineRule="atLeast"/>
            </w:pPr>
            <w:r w:rsidRPr="00F85894">
              <w:rPr>
                <w:rFonts w:hint="eastAsia"/>
              </w:rPr>
              <w:t>部内の研究進捗管理のほか，勤務状況の確認については，研究部以外での確認を行う。</w:t>
            </w:r>
          </w:p>
        </w:tc>
      </w:tr>
      <w:tr w:rsidR="00F85894" w:rsidRPr="00F85894" w14:paraId="11D407B8" w14:textId="77777777" w:rsidTr="0005459A">
        <w:trPr>
          <w:trHeight w:val="96"/>
        </w:trPr>
        <w:tc>
          <w:tcPr>
            <w:tcW w:w="1986" w:type="dxa"/>
            <w:vMerge/>
          </w:tcPr>
          <w:p w14:paraId="0A577183" w14:textId="77777777" w:rsidR="00934FF8" w:rsidRPr="00F85894" w:rsidRDefault="00934FF8" w:rsidP="00934FF8">
            <w:pPr>
              <w:spacing w:line="0" w:lineRule="atLeast"/>
            </w:pPr>
          </w:p>
        </w:tc>
        <w:tc>
          <w:tcPr>
            <w:tcW w:w="3827" w:type="dxa"/>
          </w:tcPr>
          <w:p w14:paraId="57AA722D" w14:textId="77777777" w:rsidR="00934FF8" w:rsidRPr="00F85894" w:rsidRDefault="00934FF8" w:rsidP="00934FF8">
            <w:pPr>
              <w:spacing w:line="0" w:lineRule="atLeast"/>
            </w:pPr>
            <w:r w:rsidRPr="00F85894">
              <w:rPr>
                <w:rFonts w:hint="eastAsia"/>
              </w:rPr>
              <w:t>出張の事実確認等が行える手続きが不十分（二重払いや用務先への事実確認が行いにくい）</w:t>
            </w:r>
          </w:p>
        </w:tc>
        <w:tc>
          <w:tcPr>
            <w:tcW w:w="3827" w:type="dxa"/>
          </w:tcPr>
          <w:p w14:paraId="40EAFC0B" w14:textId="77777777" w:rsidR="00934FF8" w:rsidRPr="00F85894" w:rsidRDefault="00934FF8" w:rsidP="00934FF8">
            <w:pPr>
              <w:spacing w:line="0" w:lineRule="atLeast"/>
            </w:pPr>
            <w:r w:rsidRPr="00F85894">
              <w:rPr>
                <w:rFonts w:hint="eastAsia"/>
              </w:rPr>
              <w:t>復命書類による事実確認のほか，内部監査等のセンター所属職員以外による執行のチェック機能を維持する。</w:t>
            </w:r>
          </w:p>
        </w:tc>
      </w:tr>
      <w:tr w:rsidR="00F85894" w:rsidRPr="00F85894" w14:paraId="6AD7B244" w14:textId="77777777" w:rsidTr="0005459A">
        <w:trPr>
          <w:trHeight w:val="96"/>
        </w:trPr>
        <w:tc>
          <w:tcPr>
            <w:tcW w:w="1986" w:type="dxa"/>
            <w:vMerge/>
          </w:tcPr>
          <w:p w14:paraId="0E38C988" w14:textId="77777777" w:rsidR="00934FF8" w:rsidRPr="00F85894" w:rsidRDefault="00934FF8" w:rsidP="00934FF8">
            <w:pPr>
              <w:spacing w:line="0" w:lineRule="atLeast"/>
            </w:pPr>
          </w:p>
        </w:tc>
        <w:tc>
          <w:tcPr>
            <w:tcW w:w="3827" w:type="dxa"/>
          </w:tcPr>
          <w:p w14:paraId="339815E9" w14:textId="77777777" w:rsidR="00934FF8" w:rsidRPr="00F85894" w:rsidRDefault="00934FF8" w:rsidP="00A21F09">
            <w:pPr>
              <w:spacing w:line="0" w:lineRule="atLeast"/>
            </w:pPr>
            <w:r w:rsidRPr="00F85894">
              <w:rPr>
                <w:rFonts w:hint="eastAsia"/>
              </w:rPr>
              <w:t>個人依存度が高い，あるいは閉鎖的な研究環境により，不正が判明しにくい</w:t>
            </w:r>
          </w:p>
        </w:tc>
        <w:tc>
          <w:tcPr>
            <w:tcW w:w="3827" w:type="dxa"/>
          </w:tcPr>
          <w:p w14:paraId="6C8D6BA0" w14:textId="77777777" w:rsidR="00934FF8" w:rsidRPr="00F85894" w:rsidRDefault="00934FF8" w:rsidP="00934FF8">
            <w:pPr>
              <w:spacing w:line="0" w:lineRule="atLeast"/>
            </w:pPr>
            <w:r w:rsidRPr="00F85894">
              <w:rPr>
                <w:rFonts w:hint="eastAsia"/>
              </w:rPr>
              <w:t>センター内における研究進捗状況の把握・管理</w:t>
            </w:r>
          </w:p>
          <w:p w14:paraId="0866CD1E" w14:textId="77777777" w:rsidR="00934FF8" w:rsidRPr="00F85894" w:rsidRDefault="00934FF8" w:rsidP="00934FF8">
            <w:pPr>
              <w:spacing w:line="0" w:lineRule="atLeast"/>
            </w:pPr>
            <w:r w:rsidRPr="00F85894">
              <w:rPr>
                <w:rFonts w:hint="eastAsia"/>
              </w:rPr>
              <w:t>総研企画部における研究進捗ヒアリングの実施（再掲）</w:t>
            </w:r>
          </w:p>
        </w:tc>
      </w:tr>
      <w:tr w:rsidR="00F85894" w:rsidRPr="00F85894" w14:paraId="7DBF3291" w14:textId="77777777" w:rsidTr="0005459A">
        <w:trPr>
          <w:trHeight w:val="96"/>
        </w:trPr>
        <w:tc>
          <w:tcPr>
            <w:tcW w:w="1986" w:type="dxa"/>
          </w:tcPr>
          <w:p w14:paraId="6FDEC7A5" w14:textId="77777777" w:rsidR="00010939" w:rsidRPr="00F85894" w:rsidRDefault="00010939" w:rsidP="00934FF8">
            <w:pPr>
              <w:spacing w:line="0" w:lineRule="atLeast"/>
            </w:pPr>
            <w:r w:rsidRPr="00F85894">
              <w:rPr>
                <w:rFonts w:hint="eastAsia"/>
              </w:rPr>
              <w:t>共通</w:t>
            </w:r>
          </w:p>
        </w:tc>
        <w:tc>
          <w:tcPr>
            <w:tcW w:w="3827" w:type="dxa"/>
          </w:tcPr>
          <w:p w14:paraId="509E0957" w14:textId="12EE1D09" w:rsidR="00010939" w:rsidRPr="00F85894" w:rsidRDefault="00934FF8" w:rsidP="00934FF8">
            <w:pPr>
              <w:spacing w:line="0" w:lineRule="atLeast"/>
            </w:pPr>
            <w:r w:rsidRPr="00F85894">
              <w:rPr>
                <w:rFonts w:hint="eastAsia"/>
              </w:rPr>
              <w:t>研究活動と競争的</w:t>
            </w:r>
            <w:r w:rsidR="009400B7">
              <w:rPr>
                <w:rFonts w:hint="eastAsia"/>
              </w:rPr>
              <w:t>研究費</w:t>
            </w:r>
            <w:r w:rsidRPr="00F85894">
              <w:rPr>
                <w:rFonts w:hint="eastAsia"/>
              </w:rPr>
              <w:t>の適正執行・管理について，意識が希薄となる。</w:t>
            </w:r>
          </w:p>
        </w:tc>
        <w:tc>
          <w:tcPr>
            <w:tcW w:w="3827" w:type="dxa"/>
          </w:tcPr>
          <w:p w14:paraId="59D926F2" w14:textId="77777777" w:rsidR="00010939" w:rsidRPr="00F85894" w:rsidRDefault="00934FF8" w:rsidP="00934FF8">
            <w:pPr>
              <w:spacing w:line="0" w:lineRule="atLeast"/>
            </w:pPr>
            <w:r w:rsidRPr="00F85894">
              <w:rPr>
                <w:rFonts w:hint="eastAsia"/>
              </w:rPr>
              <w:t>定期的なコンプライアンス教育を実施</w:t>
            </w:r>
          </w:p>
          <w:p w14:paraId="7AB7F1AB" w14:textId="77777777" w:rsidR="00934FF8" w:rsidRPr="00F85894" w:rsidRDefault="00934FF8" w:rsidP="00934FF8">
            <w:pPr>
              <w:spacing w:line="0" w:lineRule="atLeast"/>
            </w:pPr>
            <w:r w:rsidRPr="00F85894">
              <w:rPr>
                <w:rFonts w:hint="eastAsia"/>
              </w:rPr>
              <w:t>教育内容やその理解度の確認を行う。</w:t>
            </w:r>
          </w:p>
        </w:tc>
      </w:tr>
    </w:tbl>
    <w:p w14:paraId="2B03D1D9" w14:textId="77777777" w:rsidR="00C44190" w:rsidRPr="00F85894" w:rsidRDefault="00C44190" w:rsidP="00934FF8">
      <w:pPr>
        <w:spacing w:line="0" w:lineRule="atLeast"/>
      </w:pPr>
    </w:p>
    <w:sectPr w:rsidR="00C44190" w:rsidRPr="00F85894" w:rsidSect="003028A4">
      <w:pgSz w:w="11906" w:h="16838"/>
      <w:pgMar w:top="1701" w:right="1700"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4D558" w14:textId="77777777" w:rsidR="003C7556" w:rsidRDefault="003C7556" w:rsidP="004F0E6F">
      <w:r>
        <w:separator/>
      </w:r>
    </w:p>
  </w:endnote>
  <w:endnote w:type="continuationSeparator" w:id="0">
    <w:p w14:paraId="3ABA00E4" w14:textId="77777777" w:rsidR="003C7556" w:rsidRDefault="003C7556" w:rsidP="004F0E6F">
      <w:r>
        <w:continuationSeparator/>
      </w:r>
    </w:p>
  </w:endnote>
  <w:endnote w:type="continuationNotice" w:id="1">
    <w:p w14:paraId="64F3B93F" w14:textId="77777777" w:rsidR="003C7556" w:rsidRDefault="003C7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3BFE4" w14:textId="77777777" w:rsidR="003C7556" w:rsidRDefault="003C7556" w:rsidP="004F0E6F">
      <w:r>
        <w:separator/>
      </w:r>
    </w:p>
  </w:footnote>
  <w:footnote w:type="continuationSeparator" w:id="0">
    <w:p w14:paraId="7FA16384" w14:textId="77777777" w:rsidR="003C7556" w:rsidRDefault="003C7556" w:rsidP="004F0E6F">
      <w:r>
        <w:continuationSeparator/>
      </w:r>
    </w:p>
  </w:footnote>
  <w:footnote w:type="continuationNotice" w:id="1">
    <w:p w14:paraId="0A0C4F37" w14:textId="77777777" w:rsidR="003C7556" w:rsidRDefault="003C75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E48F6"/>
    <w:multiLevelType w:val="hybridMultilevel"/>
    <w:tmpl w:val="DBA25C76"/>
    <w:lvl w:ilvl="0" w:tplc="D03C35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A6230C"/>
    <w:multiLevelType w:val="hybridMultilevel"/>
    <w:tmpl w:val="02B2A4BA"/>
    <w:lvl w:ilvl="0" w:tplc="F836F5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5B641F"/>
    <w:multiLevelType w:val="hybridMultilevel"/>
    <w:tmpl w:val="C5E2E3B8"/>
    <w:lvl w:ilvl="0" w:tplc="0F5EC6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C53BE0"/>
    <w:multiLevelType w:val="hybridMultilevel"/>
    <w:tmpl w:val="B7EEB030"/>
    <w:lvl w:ilvl="0" w:tplc="32741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07092B"/>
    <w:multiLevelType w:val="hybridMultilevel"/>
    <w:tmpl w:val="F54ABDC2"/>
    <w:lvl w:ilvl="0" w:tplc="192E69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506573"/>
    <w:multiLevelType w:val="hybridMultilevel"/>
    <w:tmpl w:val="D982E81C"/>
    <w:lvl w:ilvl="0" w:tplc="608AF1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35"/>
    <w:rsid w:val="00000EE9"/>
    <w:rsid w:val="00010939"/>
    <w:rsid w:val="000151A2"/>
    <w:rsid w:val="00020472"/>
    <w:rsid w:val="00022135"/>
    <w:rsid w:val="0003322B"/>
    <w:rsid w:val="00035CE9"/>
    <w:rsid w:val="000366F7"/>
    <w:rsid w:val="0005459A"/>
    <w:rsid w:val="00062A81"/>
    <w:rsid w:val="000831D4"/>
    <w:rsid w:val="000D20B7"/>
    <w:rsid w:val="000E422A"/>
    <w:rsid w:val="00127A4F"/>
    <w:rsid w:val="00133EBD"/>
    <w:rsid w:val="00143FC2"/>
    <w:rsid w:val="001A35D1"/>
    <w:rsid w:val="001F3722"/>
    <w:rsid w:val="00226B78"/>
    <w:rsid w:val="002367DE"/>
    <w:rsid w:val="002777FE"/>
    <w:rsid w:val="0028419B"/>
    <w:rsid w:val="002A7145"/>
    <w:rsid w:val="002F134E"/>
    <w:rsid w:val="002F2BD9"/>
    <w:rsid w:val="002F4543"/>
    <w:rsid w:val="003028A4"/>
    <w:rsid w:val="003044D4"/>
    <w:rsid w:val="00304870"/>
    <w:rsid w:val="00323ED0"/>
    <w:rsid w:val="00350E9F"/>
    <w:rsid w:val="003A16EE"/>
    <w:rsid w:val="003C2930"/>
    <w:rsid w:val="003C7556"/>
    <w:rsid w:val="003F1EB4"/>
    <w:rsid w:val="003F75FB"/>
    <w:rsid w:val="00401AD5"/>
    <w:rsid w:val="004033D8"/>
    <w:rsid w:val="004137CD"/>
    <w:rsid w:val="00423753"/>
    <w:rsid w:val="00442CF9"/>
    <w:rsid w:val="004A6A2B"/>
    <w:rsid w:val="004E5067"/>
    <w:rsid w:val="004F0E6F"/>
    <w:rsid w:val="004F5302"/>
    <w:rsid w:val="0050790B"/>
    <w:rsid w:val="00545E4B"/>
    <w:rsid w:val="00564129"/>
    <w:rsid w:val="005B3D41"/>
    <w:rsid w:val="005B4FF9"/>
    <w:rsid w:val="005E7FF1"/>
    <w:rsid w:val="0062383A"/>
    <w:rsid w:val="00631221"/>
    <w:rsid w:val="0063360E"/>
    <w:rsid w:val="00676C17"/>
    <w:rsid w:val="006D5A1A"/>
    <w:rsid w:val="00726016"/>
    <w:rsid w:val="007267A4"/>
    <w:rsid w:val="007A20DD"/>
    <w:rsid w:val="007A650D"/>
    <w:rsid w:val="007D57BE"/>
    <w:rsid w:val="008015CE"/>
    <w:rsid w:val="00815211"/>
    <w:rsid w:val="008166A8"/>
    <w:rsid w:val="00825CE2"/>
    <w:rsid w:val="00827BCC"/>
    <w:rsid w:val="00846BD9"/>
    <w:rsid w:val="00865B3A"/>
    <w:rsid w:val="00884427"/>
    <w:rsid w:val="008D6539"/>
    <w:rsid w:val="008F0F08"/>
    <w:rsid w:val="00901F26"/>
    <w:rsid w:val="00902AAB"/>
    <w:rsid w:val="00911613"/>
    <w:rsid w:val="00914D43"/>
    <w:rsid w:val="0092021F"/>
    <w:rsid w:val="00934FF8"/>
    <w:rsid w:val="009400B7"/>
    <w:rsid w:val="00953100"/>
    <w:rsid w:val="009F205F"/>
    <w:rsid w:val="00A05FF9"/>
    <w:rsid w:val="00A21F09"/>
    <w:rsid w:val="00A8226A"/>
    <w:rsid w:val="00B502F2"/>
    <w:rsid w:val="00B54AB5"/>
    <w:rsid w:val="00BD7188"/>
    <w:rsid w:val="00BE3195"/>
    <w:rsid w:val="00BF49E1"/>
    <w:rsid w:val="00C0360D"/>
    <w:rsid w:val="00C44190"/>
    <w:rsid w:val="00C66324"/>
    <w:rsid w:val="00C93491"/>
    <w:rsid w:val="00CC5D41"/>
    <w:rsid w:val="00D353D7"/>
    <w:rsid w:val="00D95BE2"/>
    <w:rsid w:val="00E0690E"/>
    <w:rsid w:val="00E62CA5"/>
    <w:rsid w:val="00E97B63"/>
    <w:rsid w:val="00EB2544"/>
    <w:rsid w:val="00EB2E81"/>
    <w:rsid w:val="00ED57FE"/>
    <w:rsid w:val="00F02042"/>
    <w:rsid w:val="00F1719B"/>
    <w:rsid w:val="00F44013"/>
    <w:rsid w:val="00F85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C4DACED-F512-4AAD-A61B-86FB0124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E6F"/>
    <w:pPr>
      <w:tabs>
        <w:tab w:val="center" w:pos="4252"/>
        <w:tab w:val="right" w:pos="8504"/>
      </w:tabs>
      <w:snapToGrid w:val="0"/>
    </w:pPr>
  </w:style>
  <w:style w:type="character" w:customStyle="1" w:styleId="a4">
    <w:name w:val="ヘッダー (文字)"/>
    <w:basedOn w:val="a0"/>
    <w:link w:val="a3"/>
    <w:uiPriority w:val="99"/>
    <w:rsid w:val="004F0E6F"/>
  </w:style>
  <w:style w:type="paragraph" w:styleId="a5">
    <w:name w:val="footer"/>
    <w:basedOn w:val="a"/>
    <w:link w:val="a6"/>
    <w:uiPriority w:val="99"/>
    <w:unhideWhenUsed/>
    <w:rsid w:val="004F0E6F"/>
    <w:pPr>
      <w:tabs>
        <w:tab w:val="center" w:pos="4252"/>
        <w:tab w:val="right" w:pos="8504"/>
      </w:tabs>
      <w:snapToGrid w:val="0"/>
    </w:pPr>
  </w:style>
  <w:style w:type="character" w:customStyle="1" w:styleId="a6">
    <w:name w:val="フッター (文字)"/>
    <w:basedOn w:val="a0"/>
    <w:link w:val="a5"/>
    <w:uiPriority w:val="99"/>
    <w:rsid w:val="004F0E6F"/>
  </w:style>
  <w:style w:type="paragraph" w:styleId="a7">
    <w:name w:val="List Paragraph"/>
    <w:basedOn w:val="a"/>
    <w:uiPriority w:val="34"/>
    <w:qFormat/>
    <w:rsid w:val="00676C17"/>
    <w:pPr>
      <w:ind w:leftChars="400" w:left="840"/>
    </w:pPr>
  </w:style>
  <w:style w:type="paragraph" w:styleId="a8">
    <w:name w:val="Balloon Text"/>
    <w:basedOn w:val="a"/>
    <w:link w:val="a9"/>
    <w:uiPriority w:val="99"/>
    <w:semiHidden/>
    <w:unhideWhenUsed/>
    <w:rsid w:val="00062A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A8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42CF9"/>
  </w:style>
  <w:style w:type="character" w:customStyle="1" w:styleId="ab">
    <w:name w:val="日付 (文字)"/>
    <w:basedOn w:val="a0"/>
    <w:link w:val="aa"/>
    <w:uiPriority w:val="99"/>
    <w:semiHidden/>
    <w:rsid w:val="00442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FA96F-C274-4783-8857-5F92BE4B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632</Words>
  <Characters>3603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羽原 雄太</cp:lastModifiedBy>
  <cp:revision>4</cp:revision>
  <cp:lastPrinted>2019-06-24T05:05:00Z</cp:lastPrinted>
  <dcterms:created xsi:type="dcterms:W3CDTF">2021-11-24T00:44:00Z</dcterms:created>
  <dcterms:modified xsi:type="dcterms:W3CDTF">2021-11-24T00:58:00Z</dcterms:modified>
</cp:coreProperties>
</file>