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F9" w:rsidRDefault="00FD78F9"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18560" wp14:editId="42969AC0">
                <wp:simplePos x="0" y="0"/>
                <wp:positionH relativeFrom="column">
                  <wp:posOffset>22860</wp:posOffset>
                </wp:positionH>
                <wp:positionV relativeFrom="paragraph">
                  <wp:posOffset>-24130</wp:posOffset>
                </wp:positionV>
                <wp:extent cx="6076950" cy="353060"/>
                <wp:effectExtent l="0" t="0" r="19050" b="27940"/>
                <wp:wrapNone/>
                <wp:docPr id="906" name="Auto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53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D78F9" w:rsidRPr="00FD78F9" w:rsidRDefault="00FD78F9" w:rsidP="00FD78F9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  <w:r w:rsidRPr="00FD78F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28"/>
                              </w:rPr>
                              <w:t>水稲総合的病害虫・雑草管理（IPM）における管理ポイント</w:t>
                            </w:r>
                          </w:p>
                        </w:txbxContent>
                      </wps:txbx>
                      <wps:bodyPr rot="0" vert="horz" wrap="square" lIns="91440" tIns="38520" rIns="91440" bIns="385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06" o:spid="_x0000_s1026" style="position:absolute;left:0;text-align:left;margin-left:1.8pt;margin-top:-1.9pt;width:478.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" strokecolor="gray" strokeweight="1.25pt">
                <v:textbox inset=",1.07mm,,1.07mm">
                  <w:txbxContent>
                    <w:p w:rsidR="00FD78F9" w:rsidRPr="00FD78F9" w:rsidRDefault="00FD78F9" w:rsidP="00FD78F9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FD78F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28"/>
                        </w:rPr>
                        <w:t>水稲総合的病害虫・雑草管理（IPM）における管理ポイント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FD78F9" w:rsidRDefault="00FD78F9"/>
    <w:tbl>
      <w:tblPr>
        <w:tblW w:w="0" w:type="auto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719"/>
        <w:gridCol w:w="2126"/>
        <w:gridCol w:w="1984"/>
        <w:gridCol w:w="3500"/>
      </w:tblGrid>
      <w:tr w:rsidR="00FD78F9" w:rsidRPr="00FD78F9" w:rsidTr="00FD78F9">
        <w:trPr>
          <w:trHeight w:val="52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D78F9" w:rsidRPr="00FD78F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D78F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№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D78F9" w:rsidRPr="00FD78F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1"/>
                <w:szCs w:val="21"/>
              </w:rPr>
            </w:pPr>
            <w:r w:rsidRPr="00FD78F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21"/>
              </w:rPr>
              <w:t>管理項目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D78F9" w:rsidRPr="00FD78F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D78F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管理ポイント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D78F9" w:rsidRPr="00FD78F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D78F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対象病害虫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D78F9" w:rsidRPr="00FD78F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D78F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備考（効果，具体例）</w:t>
            </w:r>
          </w:p>
        </w:tc>
      </w:tr>
      <w:tr w:rsidR="00A96F1D" w:rsidRPr="00894673" w:rsidTr="00FD78F9">
        <w:trPr>
          <w:trHeight w:val="600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1D" w:rsidRPr="00E23F99" w:rsidRDefault="00A96F1D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水田及び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>その周辺の管理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702E37" w:rsidRDefault="00A96F1D" w:rsidP="00A418BE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702E3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畦畔にグランドカバープランツを植栽する。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702E37" w:rsidRDefault="00A96F1D" w:rsidP="00A418BE">
            <w:pPr>
              <w:spacing w:line="300" w:lineRule="exact"/>
              <w:ind w:left="1"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702E3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斑点米カメムシ類等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702E37" w:rsidRDefault="00A96F1D" w:rsidP="00A418BE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702E3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シバザクラ等のグランドカバープランツを植栽し，畦畔雑草を減少させる。</w:t>
            </w:r>
          </w:p>
        </w:tc>
      </w:tr>
      <w:tr w:rsidR="00A96F1D" w:rsidRPr="00894673" w:rsidTr="00FD78F9">
        <w:trPr>
          <w:trHeight w:val="822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A418B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畦畔の整備，畦塗りなどにより，漏水を防止する。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A418B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水田雑草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A418B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農薬（除草剤）の効果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安定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と水質汚濁防止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。</w:t>
            </w:r>
          </w:p>
        </w:tc>
      </w:tr>
      <w:tr w:rsidR="00A96F1D" w:rsidRPr="00894673" w:rsidTr="00FD78F9">
        <w:trPr>
          <w:trHeight w:val="523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A418B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出穂２週間前までに草刈を行う。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A418B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斑点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米カメムシ類 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A418B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畦畔のイネ科雑草での斑点米カメムシ類の増殖を抑える</w:t>
            </w:r>
            <w:r w:rsidRPr="00730FE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。防除効果を上げる。</w:t>
            </w:r>
          </w:p>
        </w:tc>
      </w:tr>
      <w:tr w:rsidR="00A96F1D" w:rsidRPr="00894673" w:rsidTr="00FD78F9">
        <w:trPr>
          <w:trHeight w:val="60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A96F1D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稲刈後に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畦畔・農道・休耕田の除草を行う。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Default="00A96F1D" w:rsidP="00A418BE">
            <w:pPr>
              <w:widowControl/>
              <w:spacing w:line="300" w:lineRule="exact"/>
              <w:ind w:left="107" w:hangingChars="50" w:hanging="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ヒメトビウンカ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</w:t>
            </w:r>
          </w:p>
          <w:p w:rsidR="00A96F1D" w:rsidRDefault="00A96F1D" w:rsidP="00A418BE">
            <w:pPr>
              <w:widowControl/>
              <w:spacing w:line="300" w:lineRule="exact"/>
              <w:ind w:left="107" w:rightChars="-48" w:right="-98" w:hangingChars="50" w:hanging="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斑点米カメムシ類等</w:t>
            </w:r>
          </w:p>
          <w:p w:rsidR="00A96F1D" w:rsidRPr="00E23F99" w:rsidRDefault="00A96F1D" w:rsidP="00A418BE">
            <w:pPr>
              <w:widowControl/>
              <w:spacing w:line="300" w:lineRule="exact"/>
              <w:ind w:left="107" w:rightChars="-48" w:right="-98" w:hangingChars="50" w:hanging="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白葉枯病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A418B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次年度の発生密度を下げる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。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白葉枯病菌は，イネ科雑草のサヤヌカグ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サで越冬する。</w:t>
            </w:r>
          </w:p>
        </w:tc>
      </w:tr>
      <w:tr w:rsidR="00A96F1D" w:rsidRPr="00894673" w:rsidTr="00FD78F9">
        <w:trPr>
          <w:trHeight w:val="469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702E37" w:rsidRDefault="00A96F1D" w:rsidP="00A418B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702E3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稲刈り後早期にほ場の耕起を行う。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702E37" w:rsidRDefault="00A96F1D" w:rsidP="00A418B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702E3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多年生雑草（クログワイ，オモダカ等）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702E37" w:rsidRDefault="00A96F1D" w:rsidP="00A418BE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702E3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多年生雑草の塊茎を地表に露出させ，翌年の発生密度を低下させる。</w:t>
            </w:r>
          </w:p>
        </w:tc>
      </w:tr>
      <w:tr w:rsidR="00A96F1D" w:rsidRPr="00894673" w:rsidTr="00FD78F9">
        <w:trPr>
          <w:trHeight w:val="73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1D" w:rsidRPr="00E23F99" w:rsidRDefault="00A96F1D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Default="00A96F1D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品種の</w:t>
            </w:r>
          </w:p>
          <w:p w:rsidR="00A96F1D" w:rsidRPr="00E23F99" w:rsidRDefault="00A96F1D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選定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いもち病や白葉枯病の常発地では，抵抗性の強い品種を選定する。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いもち病，白葉枯病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いもち病に強い品種⇒こいもみじ 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>白葉枯病に強い品種⇒コシヒカリ</w:t>
            </w:r>
          </w:p>
        </w:tc>
      </w:tr>
      <w:tr w:rsidR="00A96F1D" w:rsidRPr="00894673" w:rsidTr="00FD78F9">
        <w:trPr>
          <w:trHeight w:val="739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1D" w:rsidRPr="00E23F99" w:rsidRDefault="00A96F1D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種子の予措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種子更新を行う。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FD78F9">
            <w:pPr>
              <w:widowControl/>
              <w:spacing w:line="300" w:lineRule="exact"/>
              <w:ind w:left="107" w:hangingChars="50" w:hanging="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種子伝染性病害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 xml:space="preserve">ｲﾈｼﾝｶﾞﾚｾﾝﾁｭｳ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種子伝染性病害：ばか苗病，いもち病，ごま葉枯病，もみ枯細菌病，苗立枯細菌病</w:t>
            </w:r>
          </w:p>
        </w:tc>
      </w:tr>
      <w:tr w:rsidR="00A96F1D" w:rsidRPr="00894673" w:rsidTr="00FD78F9">
        <w:trPr>
          <w:trHeight w:val="75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塩水選を行い，不良籾を除去する。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種子伝染性病害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うるち米は1.13，もち米は1.08の塩水比重で行う。</w:t>
            </w:r>
          </w:p>
        </w:tc>
      </w:tr>
      <w:tr w:rsidR="00A96F1D" w:rsidRPr="00894673" w:rsidTr="00FD78F9">
        <w:trPr>
          <w:trHeight w:val="739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種子消毒（温湯消毒法，薬剤消毒）を行う。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FD78F9">
            <w:pPr>
              <w:widowControl/>
              <w:spacing w:line="300" w:lineRule="exact"/>
              <w:ind w:left="107" w:hangingChars="50" w:hanging="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種子伝染性病害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 xml:space="preserve">ｲﾈｼﾝｶﾞﾚｾﾝﾁｭｳ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農薬使用の場合：廃液の処理を適切に行う。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>また，廃液の出にくい方法を用いる。</w:t>
            </w:r>
          </w:p>
        </w:tc>
      </w:tr>
      <w:tr w:rsidR="00A96F1D" w:rsidRPr="00894673" w:rsidTr="00FD78F9">
        <w:trPr>
          <w:trHeight w:val="762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1D" w:rsidRPr="00E23F99" w:rsidRDefault="00A96F1D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Default="00A96F1D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健全苗の</w:t>
            </w:r>
          </w:p>
          <w:p w:rsidR="00A96F1D" w:rsidRPr="00E23F99" w:rsidRDefault="00A96F1D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育成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Default="00A96F1D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育苗箱は使用後十分に洗浄し，乾燥して清潔な場所に保管する</w:t>
            </w:r>
          </w:p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＊必要が認められれば，育苗箱の消毒をおこなう。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苗立枯病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苗立枯病菌は，育苗資材にも付着して越冬する。</w:t>
            </w:r>
          </w:p>
        </w:tc>
      </w:tr>
      <w:tr w:rsidR="00A96F1D" w:rsidRPr="00894673" w:rsidTr="00FD78F9">
        <w:trPr>
          <w:trHeight w:val="739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罹病苗を本田へ持ち込まない。</w:t>
            </w:r>
          </w:p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730FE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＊罹病した稲わらや籾殻は育苗ハウスの側に置かない。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いもち病，ばか苗病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，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苗立枯細菌病</w:t>
            </w:r>
          </w:p>
          <w:p w:rsidR="00A96F1D" w:rsidRPr="00E23F99" w:rsidRDefault="00A96F1D" w:rsidP="00FD78F9">
            <w:pPr>
              <w:widowControl/>
              <w:spacing w:line="300" w:lineRule="exact"/>
              <w:ind w:firstLineChars="50" w:firstLine="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もみ枯細菌病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罹病苗を持ち込みによる本田での発生を防ぐ。</w:t>
            </w:r>
          </w:p>
        </w:tc>
      </w:tr>
      <w:tr w:rsidR="00A96F1D" w:rsidRPr="00894673" w:rsidTr="00FD78F9">
        <w:trPr>
          <w:trHeight w:val="600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適切な播種量，施肥量を守る。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苗立枯病，いもち病 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多湿条件，徒長した生育では，病気が発生し易くなる。</w:t>
            </w:r>
          </w:p>
        </w:tc>
      </w:tr>
      <w:tr w:rsidR="00A96F1D" w:rsidRPr="00894673" w:rsidTr="00FD78F9">
        <w:trPr>
          <w:trHeight w:val="805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6F1D" w:rsidRPr="00E23F99" w:rsidRDefault="00A96F1D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育苗箱施薬剤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育苗箱施薬剤の選定を行い，過剰防除にならないよう，対象病害虫に実施する。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FD78F9">
            <w:pPr>
              <w:widowControl/>
              <w:spacing w:line="300" w:lineRule="exact"/>
              <w:ind w:left="107" w:hangingChars="50" w:hanging="107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 いもち病，紋枯病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イネミズゾウムシ，イネドロオイムシ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，ウンカ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類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，ヨコバイ類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ほか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F1D" w:rsidRPr="00E23F99" w:rsidRDefault="00A96F1D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例年の発生状況などを考慮し，必要な成分の入っている農薬を選択する。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>＊薬剤によっては，ﾌﾀｵﾋﾞｺﾔｶﾞ，ｺﾌﾞﾉﾒｲｶﾞにも効果が期待できる。</w:t>
            </w:r>
          </w:p>
        </w:tc>
      </w:tr>
    </w:tbl>
    <w:p w:rsidR="00FD78F9" w:rsidRDefault="00FD78F9"/>
    <w:tbl>
      <w:tblPr>
        <w:tblW w:w="0" w:type="auto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577"/>
        <w:gridCol w:w="2551"/>
        <w:gridCol w:w="1560"/>
        <w:gridCol w:w="3641"/>
      </w:tblGrid>
      <w:tr w:rsidR="00FD78F9" w:rsidRPr="00FD78F9" w:rsidTr="00FD78F9">
        <w:trPr>
          <w:trHeight w:val="52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D78F9" w:rsidRPr="00FD78F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D78F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№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D78F9" w:rsidRPr="00FD78F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1"/>
                <w:szCs w:val="21"/>
              </w:rPr>
            </w:pPr>
            <w:r w:rsidRPr="00FD78F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21"/>
              </w:rPr>
              <w:t>管理項目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D78F9" w:rsidRPr="00FD78F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D78F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管理ポイント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D78F9" w:rsidRPr="00FD78F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D78F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対象病害虫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D78F9" w:rsidRPr="00FD78F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D78F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備考（効果，具体例）</w:t>
            </w:r>
          </w:p>
        </w:tc>
      </w:tr>
      <w:tr w:rsidR="00FD78F9" w:rsidRPr="00894673" w:rsidTr="00FD78F9">
        <w:trPr>
          <w:trHeight w:val="73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E23F9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代かき作業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代かきを丁寧に行い，田面をできるだけ均平にする。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漏水を抑えることで，農薬（本田粒剤など）の効果を安定させる。除草剤の効果を安定させ，薬害を減らすことができる。</w:t>
            </w:r>
          </w:p>
        </w:tc>
      </w:tr>
      <w:tr w:rsidR="00FD78F9" w:rsidRPr="00894673" w:rsidTr="00FD78F9">
        <w:trPr>
          <w:trHeight w:val="600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E23F9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移植作業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健全な苗を用い，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疎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植，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小株植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にする。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78F9" w:rsidRDefault="00FD78F9" w:rsidP="00FD78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いもち病</w:t>
            </w:r>
          </w:p>
          <w:p w:rsidR="00FD78F9" w:rsidRPr="00E23F99" w:rsidRDefault="00FD78F9" w:rsidP="00FD78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紋枯病 </w:t>
            </w:r>
          </w:p>
        </w:tc>
        <w:tc>
          <w:tcPr>
            <w:tcW w:w="3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生育が過繁茂になると病害の発生が多くなる。</w:t>
            </w:r>
          </w:p>
        </w:tc>
      </w:tr>
      <w:tr w:rsidR="00FD78F9" w:rsidRPr="00894673" w:rsidTr="00FD78F9">
        <w:trPr>
          <w:trHeight w:val="439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置き苗は病気の発生源になるので，早めに処分する。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いもち病 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置き苗では，本田よりも早く，いもち病が発生する。</w:t>
            </w:r>
          </w:p>
        </w:tc>
      </w:tr>
      <w:tr w:rsidR="00FD78F9" w:rsidRPr="00894673" w:rsidTr="00FD78F9">
        <w:trPr>
          <w:trHeight w:val="350"/>
        </w:trPr>
        <w:tc>
          <w:tcPr>
            <w:tcW w:w="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E23F9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雑草対策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雑草の発生状況に応じて，過剰防除にならないように，適切な除草剤を選定する。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対象とする雑草に効果的な成分が入っているか</w:t>
            </w:r>
            <w:r w:rsidR="00DF641E" w:rsidRPr="00730FE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を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チェックする。</w:t>
            </w:r>
          </w:p>
        </w:tc>
      </w:tr>
      <w:tr w:rsidR="00FD78F9" w:rsidRPr="00894673" w:rsidTr="00FD78F9">
        <w:trPr>
          <w:trHeight w:val="468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除草剤を用いるときは，環境への影響に充分配慮して処理する。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魚類や水質への影響を配慮して農薬を選択する。</w:t>
            </w:r>
          </w:p>
        </w:tc>
      </w:tr>
      <w:tr w:rsidR="00FD78F9" w:rsidRPr="00894673" w:rsidTr="00FD78F9">
        <w:trPr>
          <w:trHeight w:val="469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702E37" w:rsidRDefault="00FD78F9" w:rsidP="00FD78F9">
            <w:pPr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702E3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耕種的防除法に取り組む。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702E37" w:rsidRDefault="00FD78F9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702E37" w:rsidRDefault="00FD78F9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702E3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深水管理や2回代かきによりノビエの発生を抑制する。</w:t>
            </w:r>
          </w:p>
        </w:tc>
      </w:tr>
      <w:tr w:rsidR="00FD78F9" w:rsidRPr="00894673" w:rsidTr="00FD78F9">
        <w:trPr>
          <w:trHeight w:val="693"/>
        </w:trPr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702E37" w:rsidRDefault="00FD78F9" w:rsidP="00FD78F9">
            <w:pPr>
              <w:spacing w:line="300" w:lineRule="exact"/>
              <w:ind w:leftChars="21" w:left="43" w:rightChars="-117" w:right="-23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702E3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物理的防除法に取り組む。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702E37" w:rsidRDefault="00FD78F9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702E37" w:rsidRDefault="00FD78F9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702E3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乗用タイプの除草機などの機械除草を導入する。</w:t>
            </w:r>
          </w:p>
          <w:p w:rsidR="00FD78F9" w:rsidRPr="00702E37" w:rsidRDefault="00FD78F9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702E3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再生紙マルチ移植栽培を導入する。</w:t>
            </w:r>
          </w:p>
        </w:tc>
      </w:tr>
      <w:tr w:rsidR="00FD78F9" w:rsidRPr="00894673" w:rsidTr="00FD78F9">
        <w:trPr>
          <w:trHeight w:val="41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702E37" w:rsidRDefault="00FD78F9" w:rsidP="00FD78F9">
            <w:pPr>
              <w:spacing w:line="300" w:lineRule="exact"/>
              <w:ind w:leftChars="21" w:left="43" w:rightChars="-117" w:right="-23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702E3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生物的防除法に取り組む。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702E37" w:rsidRDefault="00FD78F9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702E37" w:rsidRDefault="00FD78F9" w:rsidP="009315FF">
            <w:pPr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702E37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アイガモ農法等を導入する。</w:t>
            </w:r>
          </w:p>
        </w:tc>
      </w:tr>
      <w:tr w:rsidR="00FD78F9" w:rsidRPr="00894673" w:rsidTr="00FD78F9">
        <w:trPr>
          <w:trHeight w:val="629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E23F9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E23F9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肥培管理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適正な肥培管理を行う。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Default="00FD78F9" w:rsidP="00FD78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いもち病</w:t>
            </w:r>
          </w:p>
          <w:p w:rsidR="00FD78F9" w:rsidRPr="00E23F99" w:rsidRDefault="00FD78F9" w:rsidP="00FD78F9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紋枯病 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286855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730FE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多窒素条件で栽培すると</w:t>
            </w:r>
            <w:r w:rsidR="00FD78F9" w:rsidRPr="00730FE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過繁茂</w:t>
            </w:r>
            <w:r w:rsidRPr="00730FE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・軟弱となり</w:t>
            </w:r>
            <w:r w:rsidR="00FD78F9" w:rsidRPr="00730FE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病害</w:t>
            </w:r>
            <w:r w:rsidRPr="00730FE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虫</w:t>
            </w:r>
            <w:r w:rsidR="00FD78F9" w:rsidRPr="00730FEB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の発生が多くなる。</w:t>
            </w:r>
          </w:p>
        </w:tc>
      </w:tr>
      <w:tr w:rsidR="00FD78F9" w:rsidRPr="00894673" w:rsidTr="00FD78F9">
        <w:trPr>
          <w:trHeight w:val="130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E23F9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農薬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薬剤感受性の低下を防止するために，同一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分類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の薬剤を連用しない。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  <w:t>薬剤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耐性・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抵抗性の病害虫が確認されている地域では農薬の選択に注意する。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病害虫全般 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農薬の作用機構分類表を利用する。</w:t>
            </w:r>
          </w:p>
        </w:tc>
      </w:tr>
      <w:tr w:rsidR="00FD78F9" w:rsidRPr="00894673" w:rsidTr="00FD78F9">
        <w:trPr>
          <w:trHeight w:val="574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止水期間の定められている農薬を使用する場合には，農薬毎に定められている止水期間中，落水・かけ流しは行わないなど適切な管理を行う。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農薬（除草剤）の効果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安定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と水質汚濁防止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。</w:t>
            </w:r>
          </w:p>
        </w:tc>
      </w:tr>
      <w:tr w:rsidR="00FD78F9" w:rsidRPr="00894673" w:rsidTr="00FD78F9">
        <w:trPr>
          <w:trHeight w:val="305"/>
        </w:trPr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FD78F9">
            <w:pPr>
              <w:widowControl/>
              <w:spacing w:line="300" w:lineRule="exact"/>
              <w:ind w:rightChars="-48" w:right="-9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農薬を散布する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際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には，適切な飛散防止措置を講じる。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3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周辺作物，人畜，水産動植物，有用昆虫，公共用水などへの危被害の防止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。</w:t>
            </w:r>
          </w:p>
        </w:tc>
      </w:tr>
    </w:tbl>
    <w:p w:rsidR="00FD78F9" w:rsidRDefault="00FD78F9"/>
    <w:p w:rsidR="00FD78F9" w:rsidRDefault="00FD78F9">
      <w:pPr>
        <w:widowControl/>
        <w:jc w:val="left"/>
      </w:pPr>
      <w:r>
        <w:br w:type="page"/>
      </w:r>
    </w:p>
    <w:tbl>
      <w:tblPr>
        <w:tblW w:w="0" w:type="auto"/>
        <w:tblInd w:w="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1577"/>
        <w:gridCol w:w="2551"/>
        <w:gridCol w:w="1560"/>
        <w:gridCol w:w="3641"/>
      </w:tblGrid>
      <w:tr w:rsidR="00FD78F9" w:rsidRPr="00FD78F9" w:rsidTr="00FD78F9">
        <w:trPr>
          <w:trHeight w:val="525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D78F9" w:rsidRPr="00FD78F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D78F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lastRenderedPageBreak/>
              <w:t>№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D78F9" w:rsidRPr="00FD78F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1"/>
                <w:szCs w:val="21"/>
              </w:rPr>
            </w:pPr>
            <w:r w:rsidRPr="00FD78F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1"/>
                <w:szCs w:val="21"/>
              </w:rPr>
              <w:t>管理項目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CFFCC"/>
            <w:noWrap/>
            <w:vAlign w:val="center"/>
          </w:tcPr>
          <w:p w:rsidR="00FD78F9" w:rsidRPr="00FD78F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D78F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管理ポイント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D78F9" w:rsidRPr="00FD78F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D78F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対象病害虫</w:t>
            </w:r>
          </w:p>
        </w:tc>
        <w:tc>
          <w:tcPr>
            <w:tcW w:w="3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FD78F9" w:rsidRPr="00FD78F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1"/>
                <w:szCs w:val="21"/>
              </w:rPr>
            </w:pPr>
            <w:r w:rsidRPr="00FD78F9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1"/>
                <w:szCs w:val="21"/>
              </w:rPr>
              <w:t>備考（効果，具体例）</w:t>
            </w:r>
          </w:p>
        </w:tc>
      </w:tr>
      <w:tr w:rsidR="00FD78F9" w:rsidRPr="00894673" w:rsidTr="00FD78F9">
        <w:trPr>
          <w:trHeight w:val="64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E23F9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作業日誌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各農作業の実施日，病害虫，雑草の発生状況，農薬を使用した場合の名称，使用時期，使用量，散布方法などの栽培管理状況を記録する。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病害虫発生の特徴把握，薬害発生時の原因究明</w:t>
            </w:r>
          </w:p>
        </w:tc>
      </w:tr>
      <w:tr w:rsidR="00FD78F9" w:rsidRPr="00894673" w:rsidTr="00FD78F9">
        <w:trPr>
          <w:trHeight w:val="434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E23F9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発生予察情報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防除時期の目安として病害虫発生予察情報をチェックする。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☆広島県病害虫・雑草防除基準/病害虫発生予察情報</w:t>
            </w:r>
          </w:p>
          <w:p w:rsidR="001110FD" w:rsidRPr="00164B79" w:rsidRDefault="003334BC" w:rsidP="001110FD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1"/>
                <w:szCs w:val="21"/>
              </w:rPr>
            </w:pPr>
            <w:hyperlink r:id="rId8" w:history="1">
              <w:r w:rsidR="00FD78F9" w:rsidRPr="003334BC">
                <w:rPr>
                  <w:rStyle w:val="a7"/>
                  <w:rFonts w:ascii="ＭＳ Ｐゴシック" w:eastAsia="ＭＳ Ｐゴシック" w:hAnsi="ＭＳ Ｐゴシック" w:cs="ＭＳ Ｐゴシック"/>
                  <w:kern w:val="0"/>
                  <w:sz w:val="21"/>
                  <w:szCs w:val="21"/>
                </w:rPr>
                <w:t>http</w:t>
              </w:r>
              <w:r w:rsidR="0068053A" w:rsidRPr="003334BC">
                <w:rPr>
                  <w:rStyle w:val="a7"/>
                  <w:rFonts w:ascii="ＭＳ Ｐゴシック" w:eastAsia="ＭＳ Ｐゴシック" w:hAnsi="ＭＳ Ｐゴシック" w:cs="ＭＳ Ｐゴシック" w:hint="eastAsia"/>
                  <w:kern w:val="0"/>
                  <w:sz w:val="21"/>
                  <w:szCs w:val="21"/>
                </w:rPr>
                <w:t>s</w:t>
              </w:r>
              <w:r w:rsidR="00FD78F9" w:rsidRPr="003334BC">
                <w:rPr>
                  <w:rStyle w:val="a7"/>
                  <w:rFonts w:ascii="ＭＳ Ｐゴシック" w:eastAsia="ＭＳ Ｐゴシック" w:hAnsi="ＭＳ Ｐゴシック" w:cs="ＭＳ Ｐゴシック"/>
                  <w:kern w:val="0"/>
                  <w:sz w:val="21"/>
                  <w:szCs w:val="21"/>
                </w:rPr>
                <w:t>://www.pref.hiroshima.lg.jp/soshi</w:t>
              </w:r>
            </w:hyperlink>
            <w:hyperlink r:id="rId9" w:history="1">
              <w:r w:rsidR="00FD78F9" w:rsidRPr="003334BC">
                <w:rPr>
                  <w:rStyle w:val="a7"/>
                  <w:rFonts w:ascii="ＭＳ Ｐゴシック" w:eastAsia="ＭＳ Ｐゴシック" w:hAnsi="ＭＳ Ｐゴシック" w:cs="ＭＳ Ｐゴシック"/>
                  <w:kern w:val="0"/>
                  <w:sz w:val="21"/>
                  <w:szCs w:val="21"/>
                </w:rPr>
                <w:t>ki/198/syokubou-t.html</w:t>
              </w:r>
            </w:hyperlink>
            <w:bookmarkStart w:id="0" w:name="_GoBack"/>
            <w:bookmarkEnd w:id="0"/>
            <w:r w:rsidR="00FD78F9" w:rsidRPr="00164B7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</w:r>
          </w:p>
          <w:p w:rsidR="00FD78F9" w:rsidRPr="00164B79" w:rsidRDefault="00FD78F9" w:rsidP="00FD78F9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strike/>
                <w:color w:val="FF0000"/>
                <w:kern w:val="0"/>
                <w:sz w:val="21"/>
                <w:szCs w:val="21"/>
              </w:rPr>
            </w:pPr>
          </w:p>
        </w:tc>
      </w:tr>
      <w:tr w:rsidR="00FD78F9" w:rsidRPr="00894673" w:rsidTr="00FD78F9">
        <w:trPr>
          <w:trHeight w:val="1000"/>
        </w:trPr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8F9" w:rsidRPr="00E23F99" w:rsidRDefault="00FD78F9" w:rsidP="009315F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2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防除の要否の判断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予防的措置を講じる ⇒ 上記管理ポイントの実践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発生状況に注意する ⇒ 予察情報の活用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br/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・</w:t>
            </w: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>必要な場合に防除を実施する ⇒ 要防除水準の活用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E23F99" w:rsidRDefault="00FD78F9" w:rsidP="009315FF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1"/>
                <w:szCs w:val="21"/>
              </w:rPr>
            </w:pPr>
            <w:r w:rsidRPr="00E23F99">
              <w:rPr>
                <w:rFonts w:ascii="ＭＳ Ｐゴシック" w:eastAsia="ＭＳ Ｐゴシック" w:hAnsi="ＭＳ Ｐゴシック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3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8F9" w:rsidRPr="00894673" w:rsidRDefault="00FD78F9" w:rsidP="009315F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</w:p>
        </w:tc>
      </w:tr>
    </w:tbl>
    <w:p w:rsidR="00FD78F9" w:rsidRDefault="00FD78F9" w:rsidP="00FD78F9">
      <w:pPr>
        <w:widowControl/>
        <w:jc w:val="left"/>
      </w:pPr>
    </w:p>
    <w:sectPr w:rsidR="00FD78F9" w:rsidSect="00FD78F9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83" w:rsidRDefault="00954E83" w:rsidP="00954E83">
      <w:r>
        <w:separator/>
      </w:r>
    </w:p>
  </w:endnote>
  <w:endnote w:type="continuationSeparator" w:id="0">
    <w:p w:rsidR="00954E83" w:rsidRDefault="00954E83" w:rsidP="0095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83" w:rsidRDefault="00954E83" w:rsidP="00954E83">
      <w:r>
        <w:separator/>
      </w:r>
    </w:p>
  </w:footnote>
  <w:footnote w:type="continuationSeparator" w:id="0">
    <w:p w:rsidR="00954E83" w:rsidRDefault="00954E83" w:rsidP="00954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F9"/>
    <w:rsid w:val="001110FD"/>
    <w:rsid w:val="0020756D"/>
    <w:rsid w:val="00286855"/>
    <w:rsid w:val="002B1C9A"/>
    <w:rsid w:val="002E45B2"/>
    <w:rsid w:val="003334BC"/>
    <w:rsid w:val="0068053A"/>
    <w:rsid w:val="00712EBD"/>
    <w:rsid w:val="00730FEB"/>
    <w:rsid w:val="00954E83"/>
    <w:rsid w:val="00A96F1D"/>
    <w:rsid w:val="00CF2935"/>
    <w:rsid w:val="00DF641E"/>
    <w:rsid w:val="00EE1D07"/>
    <w:rsid w:val="00F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F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E83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E83"/>
    <w:rPr>
      <w:rFonts w:ascii="Century" w:eastAsia="ＭＳ 明朝" w:hAnsi="Century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334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F9"/>
    <w:pPr>
      <w:widowControl w:val="0"/>
      <w:jc w:val="both"/>
    </w:pPr>
    <w:rPr>
      <w:rFonts w:ascii="Century" w:eastAsia="ＭＳ 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E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4E83"/>
    <w:rPr>
      <w:rFonts w:ascii="Century" w:eastAsia="ＭＳ 明朝" w:hAnsi="Century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4E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4E83"/>
    <w:rPr>
      <w:rFonts w:ascii="Century" w:eastAsia="ＭＳ 明朝" w:hAnsi="Century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3334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hiroshima.lg.jp/soshiki/198/syokubou-t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ef.hiroshima.lg.jp/soshiki/198/syokubou-t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957AB-61FF-462F-BE12-D4D67418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9</cp:revision>
  <dcterms:created xsi:type="dcterms:W3CDTF">2017-12-28T06:38:00Z</dcterms:created>
  <dcterms:modified xsi:type="dcterms:W3CDTF">2019-02-25T02:19:00Z</dcterms:modified>
</cp:coreProperties>
</file>